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737C" w14:textId="77777777" w:rsidR="00135B84" w:rsidRPr="00135B84" w:rsidRDefault="00135B84" w:rsidP="00135B84">
      <w:pPr>
        <w:widowControl/>
        <w:shd w:val="clear" w:color="auto" w:fill="FFFFFF"/>
        <w:spacing w:before="150" w:after="150" w:line="312" w:lineRule="atLeast"/>
        <w:jc w:val="center"/>
        <w:outlineLvl w:val="1"/>
        <w:rPr>
          <w:rFonts w:ascii="メイリオ" w:eastAsia="メイリオ" w:hAnsi="メイリオ" w:cs="ＭＳ Ｐゴシック"/>
          <w:b/>
          <w:bCs/>
          <w:color w:val="A5171C"/>
          <w:kern w:val="0"/>
          <w:sz w:val="36"/>
          <w:szCs w:val="36"/>
        </w:rPr>
      </w:pPr>
      <w:r w:rsidRPr="00135B84">
        <w:rPr>
          <w:rFonts w:ascii="メイリオ" w:eastAsia="メイリオ" w:hAnsi="メイリオ" w:cs="ＭＳ Ｐゴシック" w:hint="eastAsia"/>
          <w:b/>
          <w:bCs/>
          <w:color w:val="A5171C"/>
          <w:kern w:val="0"/>
          <w:sz w:val="36"/>
          <w:szCs w:val="36"/>
        </w:rPr>
        <w:t>国際協力</w:t>
      </w:r>
      <w:r w:rsidR="00A1685E">
        <w:rPr>
          <w:rFonts w:ascii="メイリオ" w:eastAsia="メイリオ" w:hAnsi="メイリオ" w:cs="ＭＳ Ｐゴシック" w:hint="eastAsia"/>
          <w:b/>
          <w:bCs/>
          <w:color w:val="A5171C"/>
          <w:kern w:val="0"/>
          <w:sz w:val="36"/>
          <w:szCs w:val="36"/>
        </w:rPr>
        <w:t>70</w:t>
      </w:r>
      <w:r w:rsidRPr="00135B84">
        <w:rPr>
          <w:rFonts w:ascii="メイリオ" w:eastAsia="メイリオ" w:hAnsi="メイリオ" w:cs="ＭＳ Ｐゴシック" w:hint="eastAsia"/>
          <w:b/>
          <w:bCs/>
          <w:color w:val="A5171C"/>
          <w:kern w:val="0"/>
          <w:sz w:val="36"/>
          <w:szCs w:val="36"/>
        </w:rPr>
        <w:t>周年ロゴマークの使用に関するガイドライン</w:t>
      </w:r>
    </w:p>
    <w:p w14:paraId="72D302DB" w14:textId="7225A998" w:rsidR="00135B84" w:rsidRPr="00135B84" w:rsidRDefault="00135B84" w:rsidP="00135B84">
      <w:pPr>
        <w:widowControl/>
        <w:shd w:val="clear" w:color="auto" w:fill="FFFFFF"/>
        <w:spacing w:before="75"/>
        <w:ind w:left="360" w:right="225"/>
        <w:jc w:val="righ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20</w:t>
      </w:r>
      <w:r w:rsidR="00A1685E">
        <w:rPr>
          <w:rFonts w:ascii="メイリオ" w:eastAsia="メイリオ" w:hAnsi="メイリオ" w:cs="ＭＳ Ｐゴシック" w:hint="eastAsia"/>
          <w:color w:val="333333"/>
          <w:kern w:val="0"/>
          <w:szCs w:val="21"/>
        </w:rPr>
        <w:t>24</w:t>
      </w:r>
      <w:r w:rsidRPr="00135B84">
        <w:rPr>
          <w:rFonts w:ascii="メイリオ" w:eastAsia="メイリオ" w:hAnsi="メイリオ" w:cs="ＭＳ Ｐゴシック" w:hint="eastAsia"/>
          <w:color w:val="333333"/>
          <w:kern w:val="0"/>
          <w:szCs w:val="21"/>
        </w:rPr>
        <w:t>年</w:t>
      </w:r>
      <w:r w:rsidR="00A1685E">
        <w:rPr>
          <w:rFonts w:ascii="メイリオ" w:eastAsia="メイリオ" w:hAnsi="メイリオ" w:cs="ＭＳ Ｐゴシック" w:hint="eastAsia"/>
          <w:color w:val="333333"/>
          <w:kern w:val="0"/>
          <w:szCs w:val="21"/>
        </w:rPr>
        <w:t>3</w:t>
      </w:r>
      <w:r w:rsidRPr="00135B84">
        <w:rPr>
          <w:rFonts w:ascii="メイリオ" w:eastAsia="メイリオ" w:hAnsi="メイリオ" w:cs="ＭＳ Ｐゴシック" w:hint="eastAsia"/>
          <w:color w:val="333333"/>
          <w:kern w:val="0"/>
          <w:szCs w:val="21"/>
        </w:rPr>
        <w:t>月</w:t>
      </w:r>
      <w:r w:rsidR="00640719">
        <w:rPr>
          <w:rFonts w:ascii="メイリオ" w:eastAsia="メイリオ" w:hAnsi="メイリオ" w:cs="ＭＳ Ｐゴシック" w:hint="eastAsia"/>
          <w:color w:val="333333"/>
          <w:kern w:val="0"/>
          <w:szCs w:val="21"/>
        </w:rPr>
        <w:t>1</w:t>
      </w:r>
      <w:r w:rsidR="00640719">
        <w:rPr>
          <w:rFonts w:ascii="メイリオ" w:eastAsia="メイリオ" w:hAnsi="メイリオ" w:cs="ＭＳ Ｐゴシック"/>
          <w:color w:val="333333"/>
          <w:kern w:val="0"/>
          <w:szCs w:val="21"/>
        </w:rPr>
        <w:t>8</w:t>
      </w:r>
      <w:r w:rsidRPr="00135B84">
        <w:rPr>
          <w:rFonts w:ascii="メイリオ" w:eastAsia="メイリオ" w:hAnsi="メイリオ" w:cs="ＭＳ Ｐゴシック" w:hint="eastAsia"/>
          <w:color w:val="333333"/>
          <w:kern w:val="0"/>
          <w:szCs w:val="21"/>
        </w:rPr>
        <w:t>日</w:t>
      </w:r>
    </w:p>
    <w:p w14:paraId="24218F36" w14:textId="77777777" w:rsidR="00135B84" w:rsidRPr="00135B84" w:rsidRDefault="00135B84" w:rsidP="00135B84">
      <w:pPr>
        <w:widowControl/>
        <w:shd w:val="clear" w:color="auto" w:fill="FFFFFF"/>
        <w:spacing w:before="75"/>
        <w:ind w:left="360" w:right="225"/>
        <w:jc w:val="righ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外務省国際協力局</w:t>
      </w:r>
    </w:p>
    <w:p w14:paraId="5E8126D2"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1. ロゴマーク使用について（注意事項）</w:t>
      </w:r>
    </w:p>
    <w:p w14:paraId="1BBB21A1" w14:textId="77777777" w:rsidR="00135B84" w:rsidRP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（1）ロゴマークの使用は</w:t>
      </w:r>
      <w:r w:rsidR="008D6786">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20</w:t>
      </w:r>
      <w:r w:rsidR="008D6786">
        <w:rPr>
          <w:rFonts w:ascii="メイリオ" w:eastAsia="メイリオ" w:hAnsi="メイリオ" w:cs="ＭＳ Ｐゴシック" w:hint="eastAsia"/>
          <w:color w:val="333333"/>
          <w:kern w:val="0"/>
          <w:szCs w:val="21"/>
        </w:rPr>
        <w:t>2</w:t>
      </w:r>
      <w:r w:rsidRPr="00135B84">
        <w:rPr>
          <w:rFonts w:ascii="メイリオ" w:eastAsia="メイリオ" w:hAnsi="メイリオ" w:cs="ＭＳ Ｐゴシック" w:hint="eastAsia"/>
          <w:color w:val="333333"/>
          <w:kern w:val="0"/>
          <w:szCs w:val="21"/>
        </w:rPr>
        <w:t>4年12月31日までに実施される国際協力</w:t>
      </w:r>
      <w:r w:rsidR="008D6786">
        <w:rPr>
          <w:rFonts w:ascii="メイリオ" w:eastAsia="メイリオ" w:hAnsi="メイリオ" w:cs="ＭＳ Ｐゴシック" w:hint="eastAsia"/>
          <w:color w:val="333333"/>
          <w:kern w:val="0"/>
          <w:szCs w:val="21"/>
        </w:rPr>
        <w:t>7</w:t>
      </w:r>
      <w:r w:rsidRPr="00135B84">
        <w:rPr>
          <w:rFonts w:ascii="メイリオ" w:eastAsia="メイリオ" w:hAnsi="メイリオ" w:cs="ＭＳ Ｐゴシック" w:hint="eastAsia"/>
          <w:color w:val="333333"/>
          <w:kern w:val="0"/>
          <w:szCs w:val="21"/>
        </w:rPr>
        <w:t>0周年認定事業等についてのみ認められます。</w:t>
      </w:r>
      <w:r w:rsidRPr="00135B84">
        <w:rPr>
          <w:rFonts w:ascii="メイリオ" w:eastAsia="メイリオ" w:hAnsi="メイリオ" w:cs="ＭＳ Ｐゴシック" w:hint="eastAsia"/>
          <w:color w:val="333333"/>
          <w:kern w:val="0"/>
          <w:szCs w:val="21"/>
        </w:rPr>
        <w:br/>
        <w:t>（2）他の事業主体へのロゴマーク再配布等のロゴマークの無断使用は禁止します。</w:t>
      </w:r>
      <w:r w:rsidRPr="00135B84">
        <w:rPr>
          <w:rFonts w:ascii="メイリオ" w:eastAsia="メイリオ" w:hAnsi="メイリオ" w:cs="ＭＳ Ｐゴシック" w:hint="eastAsia"/>
          <w:color w:val="333333"/>
          <w:kern w:val="0"/>
          <w:szCs w:val="21"/>
        </w:rPr>
        <w:br/>
        <w:t>（3）国際協力</w:t>
      </w:r>
      <w:r w:rsidR="00D7142E">
        <w:rPr>
          <w:rFonts w:ascii="メイリオ" w:eastAsia="メイリオ" w:hAnsi="メイリオ" w:cs="ＭＳ Ｐゴシック" w:hint="eastAsia"/>
          <w:color w:val="333333"/>
          <w:kern w:val="0"/>
          <w:szCs w:val="21"/>
        </w:rPr>
        <w:t>7</w:t>
      </w:r>
      <w:r w:rsidRPr="00135B84">
        <w:rPr>
          <w:rFonts w:ascii="メイリオ" w:eastAsia="メイリオ" w:hAnsi="メイリオ" w:cs="ＭＳ Ｐゴシック" w:hint="eastAsia"/>
          <w:color w:val="333333"/>
          <w:kern w:val="0"/>
          <w:szCs w:val="21"/>
        </w:rPr>
        <w:t>0周年認定事業終了後に提出する報告書には</w:t>
      </w:r>
      <w:r w:rsidR="00D7142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ロゴマーク等を使用した制作物についての記述（サンプルや写真を含む）を記載して下さい。</w:t>
      </w:r>
      <w:r w:rsidRPr="00135B84">
        <w:rPr>
          <w:rFonts w:ascii="メイリオ" w:eastAsia="メイリオ" w:hAnsi="メイリオ" w:cs="ＭＳ Ｐゴシック" w:hint="eastAsia"/>
          <w:color w:val="333333"/>
          <w:kern w:val="0"/>
          <w:szCs w:val="21"/>
        </w:rPr>
        <w:br/>
        <w:t>（4）使用後のロゴマークの清刷り及びデータについては</w:t>
      </w:r>
      <w:r w:rsidR="00D7142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事業主体が責任を持って処分・消去を行って下さい。</w:t>
      </w:r>
      <w:r w:rsidRPr="00135B84">
        <w:rPr>
          <w:rFonts w:ascii="メイリオ" w:eastAsia="メイリオ" w:hAnsi="メイリオ" w:cs="ＭＳ Ｐゴシック" w:hint="eastAsia"/>
          <w:color w:val="333333"/>
          <w:kern w:val="0"/>
          <w:szCs w:val="21"/>
        </w:rPr>
        <w:br/>
        <w:t>（5）事業に関わるすべての責任は</w:t>
      </w:r>
      <w:r w:rsidR="00D7142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事業主体が負うものであり</w:t>
      </w:r>
      <w:r w:rsidR="00D7142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ロゴマーク等の付与によって外務省が責任を負うことは一切ありません。</w:t>
      </w:r>
      <w:r w:rsidRPr="00135B84">
        <w:rPr>
          <w:rFonts w:ascii="メイリオ" w:eastAsia="メイリオ" w:hAnsi="メイリオ" w:cs="ＭＳ Ｐゴシック" w:hint="eastAsia"/>
          <w:color w:val="333333"/>
          <w:kern w:val="0"/>
          <w:szCs w:val="21"/>
        </w:rPr>
        <w:br/>
        <w:t>（6）国際協力</w:t>
      </w:r>
      <w:r w:rsidR="00D7142E">
        <w:rPr>
          <w:rFonts w:ascii="メイリオ" w:eastAsia="メイリオ" w:hAnsi="メイリオ" w:cs="ＭＳ Ｐゴシック" w:hint="eastAsia"/>
          <w:color w:val="333333"/>
          <w:kern w:val="0"/>
          <w:szCs w:val="21"/>
        </w:rPr>
        <w:t>7</w:t>
      </w:r>
      <w:r w:rsidRPr="00135B84">
        <w:rPr>
          <w:rFonts w:ascii="メイリオ" w:eastAsia="メイリオ" w:hAnsi="メイリオ" w:cs="ＭＳ Ｐゴシック" w:hint="eastAsia"/>
          <w:color w:val="333333"/>
          <w:kern w:val="0"/>
          <w:szCs w:val="21"/>
        </w:rPr>
        <w:t>0周年事業認定後</w:t>
      </w:r>
      <w:r w:rsidR="00D7142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事業内容に大幅な変更がある場合には</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外務省国際協力局政策課に届出を行って下さい。事業の中止又は不適当な事業実施となることが判明した場合</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事業認定を取り消し</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ロゴマーク等の使用についても取り消すことがあります。</w:t>
      </w:r>
    </w:p>
    <w:p w14:paraId="7505E112"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2. ロゴマークの使用例</w:t>
      </w:r>
    </w:p>
    <w:p w14:paraId="7D986998" w14:textId="77777777" w:rsidR="00135B84" w:rsidRP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ウェブサイト</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ポスター</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チラシ</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パンフレット</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イベントプログラム</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国際協力</w:t>
      </w:r>
      <w:r w:rsidR="001E0D2D">
        <w:rPr>
          <w:rFonts w:ascii="メイリオ" w:eastAsia="メイリオ" w:hAnsi="メイリオ" w:cs="ＭＳ Ｐゴシック" w:hint="eastAsia"/>
          <w:color w:val="333333"/>
          <w:kern w:val="0"/>
          <w:szCs w:val="21"/>
        </w:rPr>
        <w:t>7</w:t>
      </w:r>
      <w:r w:rsidRPr="00135B84">
        <w:rPr>
          <w:rFonts w:ascii="メイリオ" w:eastAsia="メイリオ" w:hAnsi="メイリオ" w:cs="ＭＳ Ｐゴシック" w:hint="eastAsia"/>
          <w:color w:val="333333"/>
          <w:kern w:val="0"/>
          <w:szCs w:val="21"/>
        </w:rPr>
        <w:t>0周年関連出版物</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垂れ幕</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看板</w:t>
      </w:r>
      <w:r w:rsidR="001E0D2D">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新聞雑誌広告など。</w:t>
      </w:r>
    </w:p>
    <w:p w14:paraId="5B17E860"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3. 種類</w:t>
      </w:r>
    </w:p>
    <w:p w14:paraId="3F3A83F7" w14:textId="346D33D2" w:rsid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正式ロゴマーク</w:t>
      </w:r>
      <w:r w:rsidR="00A010DF">
        <w:rPr>
          <w:rFonts w:ascii="メイリオ" w:eastAsia="メイリオ" w:hAnsi="メイリオ" w:cs="ＭＳ Ｐゴシック" w:hint="eastAsia"/>
          <w:color w:val="333333"/>
          <w:kern w:val="0"/>
          <w:szCs w:val="21"/>
        </w:rPr>
        <w:t>の</w:t>
      </w:r>
      <w:r w:rsidRPr="00135B84">
        <w:rPr>
          <w:rFonts w:ascii="メイリオ" w:eastAsia="メイリオ" w:hAnsi="メイリオ" w:cs="ＭＳ Ｐゴシック" w:hint="eastAsia"/>
          <w:color w:val="333333"/>
          <w:kern w:val="0"/>
          <w:szCs w:val="21"/>
        </w:rPr>
        <w:t>色は</w:t>
      </w:r>
      <w:r w:rsidR="00D52FE3">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カラー版とモノクロ版の2種類です。データはJPG形式</w:t>
      </w:r>
      <w:r w:rsidR="00D52FE3">
        <w:rPr>
          <w:rFonts w:ascii="メイリオ" w:eastAsia="メイリオ" w:hAnsi="メイリオ" w:cs="ＭＳ Ｐゴシック" w:hint="eastAsia"/>
          <w:color w:val="333333"/>
          <w:kern w:val="0"/>
          <w:szCs w:val="21"/>
        </w:rPr>
        <w:t>、</w:t>
      </w:r>
      <w:r w:rsidR="00C24A8E">
        <w:rPr>
          <w:rFonts w:ascii="メイリオ" w:eastAsia="メイリオ" w:hAnsi="メイリオ" w:cs="ＭＳ Ｐゴシック" w:hint="eastAsia"/>
          <w:color w:val="333333"/>
          <w:kern w:val="0"/>
          <w:szCs w:val="21"/>
        </w:rPr>
        <w:t>PNG</w:t>
      </w:r>
      <w:r w:rsidRPr="00135B84">
        <w:rPr>
          <w:rFonts w:ascii="メイリオ" w:eastAsia="メイリオ" w:hAnsi="メイリオ" w:cs="ＭＳ Ｐゴシック" w:hint="eastAsia"/>
          <w:color w:val="333333"/>
          <w:kern w:val="0"/>
          <w:szCs w:val="21"/>
        </w:rPr>
        <w:t>形式</w:t>
      </w:r>
      <w:r w:rsidR="00D52FE3">
        <w:rPr>
          <w:rFonts w:ascii="メイリオ" w:eastAsia="メイリオ" w:hAnsi="メイリオ" w:cs="ＭＳ Ｐゴシック" w:hint="eastAsia"/>
          <w:color w:val="333333"/>
          <w:kern w:val="0"/>
          <w:szCs w:val="21"/>
        </w:rPr>
        <w:t>、</w:t>
      </w:r>
      <w:r w:rsidR="00C24A8E">
        <w:rPr>
          <w:rFonts w:ascii="メイリオ" w:eastAsia="メイリオ" w:hAnsi="メイリオ" w:cs="ＭＳ Ｐゴシック" w:hint="eastAsia"/>
          <w:color w:val="333333"/>
          <w:kern w:val="0"/>
          <w:szCs w:val="21"/>
        </w:rPr>
        <w:t>PDF</w:t>
      </w:r>
      <w:r w:rsidRPr="00135B84">
        <w:rPr>
          <w:rFonts w:ascii="メイリオ" w:eastAsia="メイリオ" w:hAnsi="メイリオ" w:cs="ＭＳ Ｐゴシック" w:hint="eastAsia"/>
          <w:color w:val="333333"/>
          <w:kern w:val="0"/>
          <w:szCs w:val="21"/>
        </w:rPr>
        <w:t>形</w:t>
      </w:r>
      <w:r w:rsidR="00C24A8E">
        <w:rPr>
          <w:rFonts w:ascii="メイリオ" w:eastAsia="メイリオ" w:hAnsi="メイリオ" w:cs="ＭＳ Ｐゴシック" w:hint="eastAsia"/>
          <w:color w:val="333333"/>
          <w:kern w:val="0"/>
          <w:szCs w:val="21"/>
        </w:rPr>
        <w:t>式、AI形</w:t>
      </w:r>
      <w:r w:rsidRPr="00135B84">
        <w:rPr>
          <w:rFonts w:ascii="メイリオ" w:eastAsia="メイリオ" w:hAnsi="メイリオ" w:cs="ＭＳ Ｐゴシック" w:hint="eastAsia"/>
          <w:color w:val="333333"/>
          <w:kern w:val="0"/>
          <w:szCs w:val="21"/>
        </w:rPr>
        <w:t>式があります。</w:t>
      </w:r>
    </w:p>
    <w:tbl>
      <w:tblPr>
        <w:tblStyle w:val="a3"/>
        <w:tblW w:w="0" w:type="auto"/>
        <w:tblInd w:w="360" w:type="dxa"/>
        <w:tblLook w:val="04A0" w:firstRow="1" w:lastRow="0" w:firstColumn="1" w:lastColumn="0" w:noHBand="0" w:noVBand="1"/>
      </w:tblPr>
      <w:tblGrid>
        <w:gridCol w:w="4247"/>
        <w:gridCol w:w="4247"/>
      </w:tblGrid>
      <w:tr w:rsidR="00C24A8E" w14:paraId="1FDAA926" w14:textId="77777777" w:rsidTr="00C24A8E">
        <w:trPr>
          <w:trHeight w:val="862"/>
        </w:trPr>
        <w:tc>
          <w:tcPr>
            <w:tcW w:w="4247" w:type="dxa"/>
          </w:tcPr>
          <w:p w14:paraId="42E57372" w14:textId="77777777" w:rsidR="00C24A8E" w:rsidRDefault="00C24A8E" w:rsidP="00C24A8E">
            <w:pPr>
              <w:widowControl/>
              <w:spacing w:before="75" w:after="240" w:line="240" w:lineRule="atLeast"/>
              <w:jc w:val="center"/>
              <w:rPr>
                <w:rFonts w:ascii="メイリオ" w:eastAsia="メイリオ" w:hAnsi="メイリオ" w:cs="ＭＳ Ｐゴシック"/>
                <w:color w:val="333333"/>
                <w:kern w:val="0"/>
                <w:szCs w:val="21"/>
              </w:rPr>
            </w:pPr>
            <w:r>
              <w:rPr>
                <w:rFonts w:ascii="メイリオ" w:eastAsia="メイリオ" w:hAnsi="メイリオ" w:cs="ＭＳ Ｐゴシック" w:hint="eastAsia"/>
                <w:color w:val="333333"/>
                <w:kern w:val="0"/>
                <w:szCs w:val="21"/>
              </w:rPr>
              <w:lastRenderedPageBreak/>
              <w:t>カラー</w:t>
            </w:r>
          </w:p>
        </w:tc>
        <w:tc>
          <w:tcPr>
            <w:tcW w:w="4247" w:type="dxa"/>
          </w:tcPr>
          <w:p w14:paraId="778AB8A6" w14:textId="77777777" w:rsidR="00C24A8E" w:rsidRDefault="00C24A8E" w:rsidP="00C24A8E">
            <w:pPr>
              <w:widowControl/>
              <w:spacing w:before="75" w:after="240" w:line="240" w:lineRule="atLeast"/>
              <w:jc w:val="center"/>
              <w:rPr>
                <w:rFonts w:ascii="メイリオ" w:eastAsia="メイリオ" w:hAnsi="メイリオ" w:cs="ＭＳ Ｐゴシック"/>
                <w:color w:val="333333"/>
                <w:kern w:val="0"/>
                <w:szCs w:val="21"/>
              </w:rPr>
            </w:pPr>
            <w:r>
              <w:rPr>
                <w:rFonts w:ascii="メイリオ" w:eastAsia="メイリオ" w:hAnsi="メイリオ" w:cs="ＭＳ Ｐゴシック" w:hint="eastAsia"/>
                <w:color w:val="333333"/>
                <w:kern w:val="0"/>
                <w:szCs w:val="21"/>
              </w:rPr>
              <w:t>モノクロ</w:t>
            </w:r>
          </w:p>
        </w:tc>
      </w:tr>
      <w:tr w:rsidR="00C24A8E" w14:paraId="392F005B" w14:textId="77777777" w:rsidTr="00C24A8E">
        <w:trPr>
          <w:trHeight w:val="2507"/>
        </w:trPr>
        <w:tc>
          <w:tcPr>
            <w:tcW w:w="4247" w:type="dxa"/>
          </w:tcPr>
          <w:p w14:paraId="2297DF90" w14:textId="77777777" w:rsidR="00C24A8E" w:rsidRDefault="00C24A8E" w:rsidP="00135B84">
            <w:pPr>
              <w:widowControl/>
              <w:spacing w:before="75" w:after="240"/>
              <w:jc w:val="left"/>
              <w:rPr>
                <w:rFonts w:ascii="メイリオ" w:eastAsia="メイリオ" w:hAnsi="メイリオ" w:cs="ＭＳ Ｐゴシック"/>
                <w:color w:val="333333"/>
                <w:kern w:val="0"/>
                <w:szCs w:val="21"/>
              </w:rPr>
            </w:pPr>
            <w:r>
              <w:rPr>
                <w:rFonts w:ascii="メイリオ" w:eastAsia="メイリオ" w:hAnsi="メイリオ" w:cs="ＭＳ Ｐゴシック"/>
                <w:noProof/>
                <w:color w:val="333333"/>
                <w:kern w:val="0"/>
                <w:szCs w:val="21"/>
              </w:rPr>
              <w:drawing>
                <wp:anchor distT="0" distB="0" distL="114300" distR="114300" simplePos="0" relativeHeight="251658240" behindDoc="0" locked="0" layoutInCell="1" allowOverlap="1" wp14:anchorId="0EB2B874" wp14:editId="795AF050">
                  <wp:simplePos x="0" y="0"/>
                  <wp:positionH relativeFrom="column">
                    <wp:posOffset>482426</wp:posOffset>
                  </wp:positionH>
                  <wp:positionV relativeFrom="paragraph">
                    <wp:posOffset>102523</wp:posOffset>
                  </wp:positionV>
                  <wp:extent cx="1435100" cy="135763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357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47" w:type="dxa"/>
          </w:tcPr>
          <w:p w14:paraId="3768591A" w14:textId="77777777" w:rsidR="00C24A8E" w:rsidRDefault="00C24A8E" w:rsidP="00C24A8E">
            <w:pPr>
              <w:widowControl/>
              <w:spacing w:before="75" w:after="240"/>
              <w:jc w:val="center"/>
              <w:rPr>
                <w:rFonts w:ascii="メイリオ" w:eastAsia="メイリオ" w:hAnsi="メイリオ" w:cs="ＭＳ Ｐゴシック"/>
                <w:color w:val="333333"/>
                <w:kern w:val="0"/>
                <w:szCs w:val="21"/>
              </w:rPr>
            </w:pPr>
            <w:r>
              <w:rPr>
                <w:rFonts w:ascii="メイリオ" w:eastAsia="メイリオ" w:hAnsi="メイリオ" w:cs="ＭＳ Ｐゴシック"/>
                <w:noProof/>
                <w:color w:val="333333"/>
                <w:kern w:val="0"/>
                <w:szCs w:val="21"/>
              </w:rPr>
              <w:drawing>
                <wp:anchor distT="0" distB="0" distL="114300" distR="114300" simplePos="0" relativeHeight="251659264" behindDoc="0" locked="0" layoutInCell="1" allowOverlap="1" wp14:anchorId="2D5DCBA4" wp14:editId="025A0B9A">
                  <wp:simplePos x="0" y="0"/>
                  <wp:positionH relativeFrom="column">
                    <wp:posOffset>479887</wp:posOffset>
                  </wp:positionH>
                  <wp:positionV relativeFrom="paragraph">
                    <wp:posOffset>81510</wp:posOffset>
                  </wp:positionV>
                  <wp:extent cx="1489075" cy="1409065"/>
                  <wp:effectExtent l="0" t="0" r="0" b="63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07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2D15316"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4. サイズ</w:t>
      </w:r>
    </w:p>
    <w:p w14:paraId="636D754A" w14:textId="77777777" w:rsidR="00135B84" w:rsidRP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（1）サイズは拡大・縮小をしても構いません。ただし</w:t>
      </w:r>
      <w:r w:rsidR="00C24A8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ロゴマークの縦横比は変えないで下さい。</w:t>
      </w:r>
      <w:r w:rsidRPr="00135B84">
        <w:rPr>
          <w:rFonts w:ascii="メイリオ" w:eastAsia="メイリオ" w:hAnsi="メイリオ" w:cs="ＭＳ Ｐゴシック" w:hint="eastAsia"/>
          <w:color w:val="333333"/>
          <w:kern w:val="0"/>
          <w:szCs w:val="21"/>
        </w:rPr>
        <w:br/>
        <w:t>（2）拡大・縮小にあたっては</w:t>
      </w:r>
      <w:r w:rsidR="00C24A8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ロゴマークに含まれる文字部分が判読できるように表示して下さい。</w:t>
      </w:r>
      <w:r w:rsidRPr="00135B84">
        <w:rPr>
          <w:rFonts w:ascii="メイリオ" w:eastAsia="メイリオ" w:hAnsi="メイリオ" w:cs="ＭＳ Ｐゴシック" w:hint="eastAsia"/>
          <w:color w:val="333333"/>
          <w:kern w:val="0"/>
          <w:szCs w:val="21"/>
        </w:rPr>
        <w:br/>
        <w:t>（3）サイズの変更（画素数の変更を含む）を行ったデータを再配布しないで下さい。</w:t>
      </w:r>
    </w:p>
    <w:p w14:paraId="79399349"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5. 構成</w:t>
      </w:r>
    </w:p>
    <w:p w14:paraId="30D45DF1" w14:textId="77777777" w:rsidR="00135B84" w:rsidRP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（1）ロゴマークの絵柄と文字の配置は換えないで下さい。</w:t>
      </w:r>
      <w:r w:rsidRPr="00135B84">
        <w:rPr>
          <w:rFonts w:ascii="メイリオ" w:eastAsia="メイリオ" w:hAnsi="メイリオ" w:cs="ＭＳ Ｐゴシック" w:hint="eastAsia"/>
          <w:color w:val="333333"/>
          <w:kern w:val="0"/>
          <w:szCs w:val="21"/>
        </w:rPr>
        <w:br/>
        <w:t>（2）ロゴマークの絵柄や文字を分解したり</w:t>
      </w:r>
      <w:r w:rsidR="00C24A8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再編集したりしないで下さい。</w:t>
      </w:r>
    </w:p>
    <w:p w14:paraId="5E24BB4B"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6. レイアウト</w:t>
      </w:r>
    </w:p>
    <w:p w14:paraId="423216CB" w14:textId="77777777" w:rsidR="00135B84" w:rsidRPr="00135B84" w:rsidRDefault="00135B84" w:rsidP="00135B84">
      <w:pPr>
        <w:widowControl/>
        <w:shd w:val="clear" w:color="auto" w:fill="FFFFFF"/>
        <w:spacing w:before="75" w:after="240"/>
        <w:ind w:left="360"/>
        <w:jc w:val="left"/>
        <w:rPr>
          <w:rFonts w:ascii="メイリオ" w:eastAsia="メイリオ" w:hAnsi="メイリオ" w:cs="ＭＳ Ｐゴシック"/>
          <w:color w:val="333333"/>
          <w:kern w:val="0"/>
          <w:szCs w:val="21"/>
        </w:rPr>
      </w:pPr>
      <w:r w:rsidRPr="00135B84">
        <w:rPr>
          <w:rFonts w:ascii="メイリオ" w:eastAsia="メイリオ" w:hAnsi="メイリオ" w:cs="ＭＳ Ｐゴシック" w:hint="eastAsia"/>
          <w:color w:val="333333"/>
          <w:kern w:val="0"/>
          <w:szCs w:val="21"/>
        </w:rPr>
        <w:t>（1）ロゴマークの範囲に他の文字やデザインが接したり</w:t>
      </w:r>
      <w:r w:rsidR="00C24A8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重ならなったりしないように配置して下さい。</w:t>
      </w:r>
      <w:r w:rsidRPr="00135B84">
        <w:rPr>
          <w:rFonts w:ascii="メイリオ" w:eastAsia="メイリオ" w:hAnsi="メイリオ" w:cs="ＭＳ Ｐゴシック" w:hint="eastAsia"/>
          <w:color w:val="333333"/>
          <w:kern w:val="0"/>
          <w:szCs w:val="21"/>
        </w:rPr>
        <w:br/>
        <w:t>（2）ロゴマークとそれ以外の文字やデザインとの間には一定の間隔をあけて</w:t>
      </w:r>
      <w:r w:rsidR="00C24A8E">
        <w:rPr>
          <w:rFonts w:ascii="メイリオ" w:eastAsia="メイリオ" w:hAnsi="メイリオ" w:cs="ＭＳ Ｐゴシック" w:hint="eastAsia"/>
          <w:color w:val="333333"/>
          <w:kern w:val="0"/>
          <w:szCs w:val="21"/>
        </w:rPr>
        <w:t>、</w:t>
      </w:r>
      <w:r w:rsidRPr="00135B84">
        <w:rPr>
          <w:rFonts w:ascii="メイリオ" w:eastAsia="メイリオ" w:hAnsi="メイリオ" w:cs="ＭＳ Ｐゴシック" w:hint="eastAsia"/>
          <w:color w:val="333333"/>
          <w:kern w:val="0"/>
          <w:szCs w:val="21"/>
        </w:rPr>
        <w:t>一体化したデザインと思われないようにしてください。</w:t>
      </w:r>
    </w:p>
    <w:p w14:paraId="16A14ED4" w14:textId="77777777" w:rsidR="00135B84" w:rsidRPr="00135B84" w:rsidRDefault="00135B84" w:rsidP="00135B84">
      <w:pPr>
        <w:widowControl/>
        <w:shd w:val="clear" w:color="auto" w:fill="FFFFFF"/>
        <w:spacing w:before="150" w:after="150"/>
        <w:jc w:val="left"/>
        <w:outlineLvl w:val="2"/>
        <w:rPr>
          <w:rFonts w:ascii="メイリオ" w:eastAsia="メイリオ" w:hAnsi="メイリオ" w:cs="ＭＳ Ｐゴシック"/>
          <w:b/>
          <w:bCs/>
          <w:color w:val="333333"/>
          <w:kern w:val="0"/>
          <w:sz w:val="23"/>
          <w:szCs w:val="23"/>
        </w:rPr>
      </w:pPr>
      <w:r w:rsidRPr="00135B84">
        <w:rPr>
          <w:rFonts w:ascii="メイリオ" w:eastAsia="メイリオ" w:hAnsi="メイリオ" w:cs="ＭＳ Ｐゴシック" w:hint="eastAsia"/>
          <w:b/>
          <w:bCs/>
          <w:color w:val="333333"/>
          <w:kern w:val="0"/>
          <w:sz w:val="23"/>
          <w:szCs w:val="23"/>
        </w:rPr>
        <w:t>7. 色彩</w:t>
      </w:r>
    </w:p>
    <w:p w14:paraId="3028E2EA" w14:textId="26E0A257" w:rsidR="00991745" w:rsidRPr="00135B84" w:rsidRDefault="00135B84">
      <w:r w:rsidRPr="00135B84">
        <w:rPr>
          <w:rFonts w:ascii="メイリオ" w:eastAsia="メイリオ" w:hAnsi="メイリオ" w:cs="ＭＳ Ｐゴシック" w:hint="eastAsia"/>
          <w:color w:val="333333"/>
          <w:kern w:val="0"/>
          <w:szCs w:val="21"/>
        </w:rPr>
        <w:t>（1）ロゴマークに使用されている色又はそれに近い色を背景の色として使用しないで下さい。</w:t>
      </w:r>
      <w:r w:rsidRPr="00135B84">
        <w:rPr>
          <w:rFonts w:ascii="メイリオ" w:eastAsia="メイリオ" w:hAnsi="メイリオ" w:cs="ＭＳ Ｐゴシック" w:hint="eastAsia"/>
          <w:color w:val="333333"/>
          <w:kern w:val="0"/>
          <w:szCs w:val="21"/>
        </w:rPr>
        <w:br/>
        <w:t>（2）色の変更は行わないで下さい。</w:t>
      </w:r>
    </w:p>
    <w:sectPr w:rsidR="00991745" w:rsidRPr="00135B84" w:rsidSect="00563E9F">
      <w:pgSz w:w="11906" w:h="16838" w:code="9"/>
      <w:pgMar w:top="1247" w:right="1077" w:bottom="1247" w:left="1077"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BAA7" w14:textId="77777777" w:rsidR="00563E9F" w:rsidRDefault="00563E9F" w:rsidP="00563E9F">
      <w:r>
        <w:separator/>
      </w:r>
    </w:p>
  </w:endnote>
  <w:endnote w:type="continuationSeparator" w:id="0">
    <w:p w14:paraId="4C875FA9" w14:textId="77777777" w:rsidR="00563E9F" w:rsidRDefault="00563E9F" w:rsidP="0056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85E3" w14:textId="77777777" w:rsidR="00563E9F" w:rsidRDefault="00563E9F" w:rsidP="00563E9F">
      <w:r>
        <w:separator/>
      </w:r>
    </w:p>
  </w:footnote>
  <w:footnote w:type="continuationSeparator" w:id="0">
    <w:p w14:paraId="64CB4D9D" w14:textId="77777777" w:rsidR="00563E9F" w:rsidRDefault="00563E9F" w:rsidP="00563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84"/>
    <w:rsid w:val="00135B84"/>
    <w:rsid w:val="001E0D2D"/>
    <w:rsid w:val="00563E9F"/>
    <w:rsid w:val="005A1BE3"/>
    <w:rsid w:val="005B7DDE"/>
    <w:rsid w:val="00640719"/>
    <w:rsid w:val="006676DF"/>
    <w:rsid w:val="0072279E"/>
    <w:rsid w:val="008D6786"/>
    <w:rsid w:val="008D7F44"/>
    <w:rsid w:val="00991745"/>
    <w:rsid w:val="00A010DF"/>
    <w:rsid w:val="00A1685E"/>
    <w:rsid w:val="00A24C32"/>
    <w:rsid w:val="00C24A8E"/>
    <w:rsid w:val="00D52FE3"/>
    <w:rsid w:val="00D71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6FA825"/>
  <w15:chartTrackingRefBased/>
  <w15:docId w15:val="{7CB64F68-5532-4E88-9AEE-B8E9813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paragraph" w:styleId="2">
    <w:name w:val="heading 2"/>
    <w:basedOn w:val="a"/>
    <w:link w:val="20"/>
    <w:uiPriority w:val="9"/>
    <w:qFormat/>
    <w:rsid w:val="00135B8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35B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35B84"/>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35B84"/>
    <w:rPr>
      <w:rFonts w:ascii="ＭＳ Ｐゴシック" w:eastAsia="ＭＳ Ｐゴシック" w:hAnsi="ＭＳ Ｐゴシック" w:cs="ＭＳ Ｐゴシック"/>
      <w:b/>
      <w:bCs/>
      <w:kern w:val="0"/>
      <w:sz w:val="27"/>
      <w:szCs w:val="27"/>
    </w:rPr>
  </w:style>
  <w:style w:type="paragraph" w:customStyle="1" w:styleId="rightalign">
    <w:name w:val="rightalign"/>
    <w:basedOn w:val="a"/>
    <w:rsid w:val="00135B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35B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C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A010DF"/>
    <w:rPr>
      <w:rFonts w:ascii="ＭＳ 明朝" w:eastAsia="ＭＳ 明朝" w:hAnsi="ＭＳ 明朝"/>
    </w:rPr>
  </w:style>
  <w:style w:type="paragraph" w:styleId="a5">
    <w:name w:val="header"/>
    <w:basedOn w:val="a"/>
    <w:link w:val="a6"/>
    <w:uiPriority w:val="99"/>
    <w:unhideWhenUsed/>
    <w:rsid w:val="00563E9F"/>
    <w:pPr>
      <w:tabs>
        <w:tab w:val="center" w:pos="4252"/>
        <w:tab w:val="right" w:pos="8504"/>
      </w:tabs>
      <w:snapToGrid w:val="0"/>
    </w:pPr>
  </w:style>
  <w:style w:type="character" w:customStyle="1" w:styleId="a6">
    <w:name w:val="ヘッダー (文字)"/>
    <w:basedOn w:val="a0"/>
    <w:link w:val="a5"/>
    <w:uiPriority w:val="99"/>
    <w:rsid w:val="00563E9F"/>
    <w:rPr>
      <w:rFonts w:ascii="ＭＳ 明朝" w:eastAsia="ＭＳ 明朝" w:hAnsi="ＭＳ 明朝"/>
    </w:rPr>
  </w:style>
  <w:style w:type="paragraph" w:styleId="a7">
    <w:name w:val="footer"/>
    <w:basedOn w:val="a"/>
    <w:link w:val="a8"/>
    <w:uiPriority w:val="99"/>
    <w:unhideWhenUsed/>
    <w:rsid w:val="00563E9F"/>
    <w:pPr>
      <w:tabs>
        <w:tab w:val="center" w:pos="4252"/>
        <w:tab w:val="right" w:pos="8504"/>
      </w:tabs>
      <w:snapToGrid w:val="0"/>
    </w:pPr>
  </w:style>
  <w:style w:type="character" w:customStyle="1" w:styleId="a8">
    <w:name w:val="フッター (文字)"/>
    <w:basedOn w:val="a0"/>
    <w:link w:val="a7"/>
    <w:uiPriority w:val="99"/>
    <w:rsid w:val="00563E9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10629">
      <w:bodyDiv w:val="1"/>
      <w:marLeft w:val="0"/>
      <w:marRight w:val="0"/>
      <w:marTop w:val="0"/>
      <w:marBottom w:val="0"/>
      <w:divBdr>
        <w:top w:val="none" w:sz="0" w:space="0" w:color="auto"/>
        <w:left w:val="none" w:sz="0" w:space="0" w:color="auto"/>
        <w:bottom w:val="none" w:sz="0" w:space="0" w:color="auto"/>
        <w:right w:val="none" w:sz="0" w:space="0" w:color="auto"/>
      </w:divBdr>
      <w:divsChild>
        <w:div w:id="17021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D6BD-0F96-4E65-856C-52591CAE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 SAKIKO</dc:creator>
  <cp:keywords/>
  <dc:description/>
  <cp:lastModifiedBy>OUCHI KEISUKE</cp:lastModifiedBy>
  <cp:revision>7</cp:revision>
  <cp:lastPrinted>2024-03-12T06:41:00Z</cp:lastPrinted>
  <dcterms:created xsi:type="dcterms:W3CDTF">2024-03-08T02:22:00Z</dcterms:created>
  <dcterms:modified xsi:type="dcterms:W3CDTF">2024-03-18T04:57:00Z</dcterms:modified>
</cp:coreProperties>
</file>