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00B6" w14:textId="77777777" w:rsidR="001316C8" w:rsidRPr="003C2D7E" w:rsidRDefault="001316C8" w:rsidP="001316C8">
      <w:pPr>
        <w:widowControl w:val="0"/>
        <w:bidi w:val="0"/>
        <w:spacing w:line="320" w:lineRule="exact"/>
        <w:jc w:val="center"/>
        <w:rPr>
          <w:b/>
          <w:bCs/>
          <w:lang w:eastAsia="ja-JP"/>
        </w:rPr>
      </w:pPr>
      <w:r w:rsidRPr="003C2D7E">
        <w:rPr>
          <w:b/>
          <w:bCs/>
          <w:lang w:eastAsia="ja-JP"/>
        </w:rPr>
        <w:t xml:space="preserve">MEMORANDUM OF COOPERATION </w:t>
      </w:r>
    </w:p>
    <w:p w14:paraId="23300AE7" w14:textId="77777777" w:rsidR="001316C8" w:rsidRPr="003C2D7E" w:rsidRDefault="001316C8" w:rsidP="001316C8">
      <w:pPr>
        <w:widowControl w:val="0"/>
        <w:bidi w:val="0"/>
        <w:spacing w:line="320" w:lineRule="exact"/>
        <w:jc w:val="center"/>
        <w:rPr>
          <w:b/>
          <w:bCs/>
          <w:lang w:eastAsia="ja-JP"/>
        </w:rPr>
      </w:pPr>
      <w:r w:rsidRPr="003C2D7E">
        <w:rPr>
          <w:b/>
          <w:bCs/>
          <w:lang w:eastAsia="ja-JP"/>
        </w:rPr>
        <w:t>ON THE JOINT CREDITING MECHANISM</w:t>
      </w:r>
    </w:p>
    <w:p w14:paraId="051F1005" w14:textId="77777777" w:rsidR="001316C8" w:rsidRPr="003C2D7E" w:rsidRDefault="001316C8" w:rsidP="001316C8">
      <w:pPr>
        <w:widowControl w:val="0"/>
        <w:bidi w:val="0"/>
        <w:spacing w:line="320" w:lineRule="exact"/>
        <w:jc w:val="center"/>
        <w:rPr>
          <w:b/>
          <w:bCs/>
          <w:lang w:eastAsia="ja-JP"/>
        </w:rPr>
      </w:pPr>
      <w:r w:rsidRPr="003C2D7E">
        <w:rPr>
          <w:b/>
          <w:bCs/>
          <w:lang w:eastAsia="ja-JP"/>
        </w:rPr>
        <w:t>BETWEEN</w:t>
      </w:r>
    </w:p>
    <w:p w14:paraId="13B649F7" w14:textId="77777777" w:rsidR="001316C8" w:rsidRDefault="001316C8" w:rsidP="001316C8">
      <w:pPr>
        <w:bidi w:val="0"/>
        <w:spacing w:line="320" w:lineRule="exact"/>
        <w:jc w:val="center"/>
        <w:rPr>
          <w:b/>
          <w:bCs/>
          <w:lang w:eastAsia="ja-JP"/>
        </w:rPr>
      </w:pPr>
      <w:r w:rsidRPr="003C2D7E">
        <w:rPr>
          <w:b/>
          <w:bCs/>
          <w:lang w:eastAsia="ja-JP"/>
        </w:rPr>
        <w:t>THE GOVERNMENT OF JAPAN</w:t>
      </w:r>
    </w:p>
    <w:p w14:paraId="53403A68" w14:textId="77777777" w:rsidR="001316C8" w:rsidRDefault="001316C8" w:rsidP="001316C8">
      <w:pPr>
        <w:bidi w:val="0"/>
        <w:spacing w:line="320" w:lineRule="exact"/>
        <w:jc w:val="center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AND</w:t>
      </w:r>
    </w:p>
    <w:p w14:paraId="620D9207" w14:textId="77777777" w:rsidR="001316C8" w:rsidRPr="003C2D7E" w:rsidRDefault="001316C8" w:rsidP="001316C8">
      <w:pPr>
        <w:widowControl w:val="0"/>
        <w:bidi w:val="0"/>
        <w:spacing w:line="320" w:lineRule="exact"/>
        <w:jc w:val="center"/>
        <w:rPr>
          <w:b/>
          <w:bCs/>
          <w:lang w:eastAsia="ja-JP"/>
        </w:rPr>
      </w:pPr>
      <w:r w:rsidRPr="003C2D7E">
        <w:rPr>
          <w:b/>
          <w:bCs/>
          <w:lang w:eastAsia="ja-JP"/>
        </w:rPr>
        <w:t>THE GOVERNMENT OF THE SULTANATE OF OMAN</w:t>
      </w:r>
    </w:p>
    <w:p w14:paraId="71FF4BC4" w14:textId="77777777" w:rsidR="001316C8" w:rsidRPr="00A95983" w:rsidRDefault="001316C8" w:rsidP="001316C8">
      <w:pPr>
        <w:widowControl w:val="0"/>
        <w:bidi w:val="0"/>
        <w:spacing w:line="320" w:lineRule="exact"/>
        <w:jc w:val="both"/>
        <w:rPr>
          <w:kern w:val="2"/>
          <w:sz w:val="26"/>
          <w:u w:val="single"/>
          <w:lang w:val="en-GB"/>
        </w:rPr>
      </w:pPr>
    </w:p>
    <w:p w14:paraId="6A0A981C" w14:textId="77777777" w:rsidR="001316C8" w:rsidRPr="00D316AB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>
        <w:rPr>
          <w:rFonts w:hint="eastAsia"/>
          <w:sz w:val="24"/>
          <w:szCs w:val="24"/>
          <w:lang w:val="en-GB" w:eastAsia="ja-JP"/>
        </w:rPr>
        <w:t>T</w:t>
      </w:r>
      <w:r w:rsidRPr="00D316AB">
        <w:rPr>
          <w:sz w:val="24"/>
          <w:szCs w:val="24"/>
        </w:rPr>
        <w:t xml:space="preserve">he Government of </w:t>
      </w:r>
      <w:r w:rsidRPr="340FCC2A">
        <w:rPr>
          <w:sz w:val="24"/>
          <w:szCs w:val="24"/>
        </w:rPr>
        <w:t xml:space="preserve">Japan </w:t>
      </w:r>
      <w:r>
        <w:rPr>
          <w:rFonts w:hint="eastAsia"/>
          <w:sz w:val="24"/>
          <w:szCs w:val="24"/>
          <w:lang w:eastAsia="ja-JP"/>
        </w:rPr>
        <w:t xml:space="preserve">and </w:t>
      </w:r>
      <w:r>
        <w:rPr>
          <w:rFonts w:hint="eastAsia"/>
          <w:kern w:val="2"/>
          <w:sz w:val="24"/>
          <w:szCs w:val="24"/>
          <w:lang w:val="en-GB" w:eastAsia="ja-JP"/>
        </w:rPr>
        <w:t>t</w:t>
      </w:r>
      <w:r w:rsidRPr="00D316AB">
        <w:rPr>
          <w:kern w:val="2"/>
          <w:sz w:val="24"/>
          <w:szCs w:val="24"/>
          <w:lang w:val="en-GB"/>
        </w:rPr>
        <w:t>he</w:t>
      </w:r>
      <w:r w:rsidRPr="00D316AB">
        <w:rPr>
          <w:sz w:val="24"/>
          <w:szCs w:val="24"/>
        </w:rPr>
        <w:t xml:space="preserve"> Government of </w:t>
      </w:r>
      <w:r w:rsidRPr="340FCC2A">
        <w:rPr>
          <w:sz w:val="24"/>
          <w:szCs w:val="24"/>
        </w:rPr>
        <w:t xml:space="preserve">the Sultanate of Oman </w:t>
      </w:r>
      <w:r w:rsidRPr="00D316AB">
        <w:rPr>
          <w:kern w:val="2"/>
          <w:sz w:val="24"/>
          <w:szCs w:val="24"/>
          <w:lang w:val="en-GB"/>
        </w:rPr>
        <w:t>(hereinafter referred to individually as a “</w:t>
      </w:r>
      <w:r w:rsidRPr="340FCC2A">
        <w:rPr>
          <w:rFonts w:eastAsia="ＭＳ ゴシック" w:cs="Times New Roman"/>
          <w:sz w:val="24"/>
          <w:szCs w:val="24"/>
          <w:lang w:val="en-GB" w:eastAsia="ja-JP"/>
        </w:rPr>
        <w:t>Government</w:t>
      </w:r>
      <w:r w:rsidRPr="00D316AB">
        <w:rPr>
          <w:kern w:val="2"/>
          <w:sz w:val="24"/>
          <w:szCs w:val="24"/>
          <w:lang w:val="en-GB"/>
        </w:rPr>
        <w:t xml:space="preserve">” and collectively as “both </w:t>
      </w:r>
      <w:r w:rsidRPr="340FCC2A">
        <w:rPr>
          <w:rFonts w:eastAsia="ＭＳ ゴシック" w:cs="Times New Roman"/>
          <w:sz w:val="24"/>
          <w:szCs w:val="24"/>
          <w:lang w:val="en-GB" w:eastAsia="ja-JP"/>
        </w:rPr>
        <w:t>Governments</w:t>
      </w:r>
      <w:r w:rsidRPr="00D316AB">
        <w:rPr>
          <w:kern w:val="2"/>
          <w:sz w:val="24"/>
          <w:szCs w:val="24"/>
          <w:lang w:val="en-GB"/>
        </w:rPr>
        <w:t xml:space="preserve">”), in pursuit of the objectives of the Paris Agreement </w:t>
      </w:r>
      <w:r w:rsidRPr="340FCC2A">
        <w:rPr>
          <w:rFonts w:eastAsia="ＭＳ ゴシック" w:cs="Times New Roman"/>
          <w:sz w:val="24"/>
          <w:szCs w:val="24"/>
          <w:lang w:eastAsia="ja-JP"/>
        </w:rPr>
        <w:t>on Climate Change</w:t>
      </w:r>
      <w:r w:rsidRPr="340FCC2A">
        <w:rPr>
          <w:rFonts w:eastAsia="ＭＳ ゴシック" w:cs="Times New Roman"/>
          <w:sz w:val="24"/>
          <w:szCs w:val="24"/>
          <w:rtl/>
          <w:lang w:eastAsia="ja-JP"/>
        </w:rPr>
        <w:t xml:space="preserve"> </w:t>
      </w:r>
      <w:r w:rsidRPr="00D316AB">
        <w:rPr>
          <w:kern w:val="2"/>
          <w:sz w:val="24"/>
          <w:szCs w:val="24"/>
          <w:lang w:val="en-GB"/>
        </w:rPr>
        <w:t xml:space="preserve">including </w:t>
      </w:r>
      <w:r w:rsidRPr="340FCC2A">
        <w:rPr>
          <w:rFonts w:eastAsia="ＭＳ ゴシック" w:cs="Times New Roman"/>
          <w:sz w:val="24"/>
          <w:szCs w:val="24"/>
          <w:lang w:eastAsia="ja-JP"/>
        </w:rPr>
        <w:t>maintaining</w:t>
      </w:r>
      <w:r w:rsidRPr="00D316AB">
        <w:rPr>
          <w:kern w:val="2"/>
          <w:sz w:val="24"/>
          <w:szCs w:val="24"/>
          <w:lang w:val="en-GB"/>
        </w:rPr>
        <w:t xml:space="preserve"> the increase in the global average temperature to well below 2°C above pre-industrial levels and pursuing efforts to limit the temperature increase to 1.5°C above pre-industrial levels</w:t>
      </w:r>
      <w:r w:rsidRPr="340FCC2A">
        <w:rPr>
          <w:rFonts w:eastAsia="ＭＳ ゴシック" w:cs="Times New Roman"/>
          <w:sz w:val="24"/>
          <w:szCs w:val="24"/>
          <w:lang w:eastAsia="ja-JP"/>
        </w:rPr>
        <w:t>,</w:t>
      </w:r>
      <w:r w:rsidRPr="00D316AB">
        <w:rPr>
          <w:kern w:val="2"/>
          <w:sz w:val="24"/>
          <w:szCs w:val="24"/>
          <w:lang w:val="en-GB"/>
        </w:rPr>
        <w:t xml:space="preserve"> as stipulated in Article 2, paragraph 1, sub-paragraph (a</w:t>
      </w:r>
      <w:r w:rsidRPr="340FCC2A">
        <w:rPr>
          <w:rFonts w:eastAsia="ＭＳ ゴシック" w:cs="Times New Roman"/>
          <w:sz w:val="24"/>
          <w:szCs w:val="24"/>
          <w:lang w:val="en-GB" w:eastAsia="ja-JP"/>
        </w:rPr>
        <w:t>) of the Paris Agreement</w:t>
      </w:r>
      <w:r w:rsidRPr="340FCC2A">
        <w:rPr>
          <w:rFonts w:eastAsia="ＭＳ ゴシック" w:cs="Times New Roman"/>
          <w:sz w:val="24"/>
          <w:szCs w:val="24"/>
          <w:lang w:eastAsia="ja-JP"/>
        </w:rPr>
        <w:t xml:space="preserve"> on Climate Change</w:t>
      </w:r>
      <w:r w:rsidRPr="340FCC2A">
        <w:rPr>
          <w:rFonts w:eastAsia="ＭＳ ゴシック" w:cs="Times New Roman"/>
          <w:sz w:val="24"/>
          <w:szCs w:val="24"/>
          <w:lang w:val="en-GB" w:eastAsia="ja-JP"/>
        </w:rPr>
        <w:t>,</w:t>
      </w:r>
      <w:r w:rsidRPr="00D316AB">
        <w:rPr>
          <w:kern w:val="2"/>
          <w:sz w:val="24"/>
          <w:szCs w:val="24"/>
          <w:lang w:val="en-GB"/>
        </w:rPr>
        <w:t xml:space="preserve"> and in order to enhance bilateral cooperation in addressing climate change, establish a Joint Crediting Mechanis</w:t>
      </w:r>
      <w:bookmarkStart w:id="0" w:name="_Hlk210038015"/>
      <w:r w:rsidRPr="00D316AB">
        <w:rPr>
          <w:kern w:val="2"/>
          <w:sz w:val="24"/>
          <w:szCs w:val="24"/>
          <w:lang w:val="en-GB"/>
        </w:rPr>
        <w:t>m (hereinafter referred to as “the JCM</w:t>
      </w:r>
      <w:bookmarkEnd w:id="0"/>
      <w:r w:rsidRPr="00D316AB">
        <w:rPr>
          <w:kern w:val="2"/>
          <w:sz w:val="24"/>
          <w:szCs w:val="24"/>
          <w:lang w:val="en-GB"/>
        </w:rPr>
        <w:t>”).</w:t>
      </w:r>
    </w:p>
    <w:p w14:paraId="337A5864" w14:textId="77777777" w:rsidR="001316C8" w:rsidRPr="00D316AB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D316AB">
        <w:rPr>
          <w:kern w:val="2"/>
          <w:sz w:val="24"/>
          <w:szCs w:val="24"/>
          <w:lang w:val="en-GB"/>
        </w:rPr>
        <w:t xml:space="preserve">The JCM aims to facilitate </w:t>
      </w:r>
      <w:r w:rsidRPr="00D316AB">
        <w:rPr>
          <w:rFonts w:eastAsia="ＭＳ ゴシック" w:cs="Times New Roman"/>
          <w:kern w:val="2"/>
          <w:sz w:val="24"/>
          <w:szCs w:val="24"/>
          <w:lang w:val="en-GB" w:eastAsia="ja-JP"/>
        </w:rPr>
        <w:t xml:space="preserve">the </w:t>
      </w:r>
      <w:r w:rsidRPr="00D316AB">
        <w:rPr>
          <w:kern w:val="2"/>
          <w:sz w:val="24"/>
          <w:szCs w:val="24"/>
          <w:lang w:val="en-GB"/>
        </w:rPr>
        <w:t xml:space="preserve">diffusion of, among others, leading decarbonizing technologies, products, systems, services and infrastructure as well as </w:t>
      </w:r>
      <w:r w:rsidRPr="00D316AB">
        <w:rPr>
          <w:rFonts w:eastAsia="ＭＳ ゴシック" w:cs="Times New Roman"/>
          <w:kern w:val="2"/>
          <w:sz w:val="24"/>
          <w:szCs w:val="24"/>
          <w:lang w:val="en-GB" w:eastAsia="ja-JP"/>
        </w:rPr>
        <w:t xml:space="preserve">the </w:t>
      </w:r>
      <w:r w:rsidRPr="00D316AB">
        <w:rPr>
          <w:kern w:val="2"/>
          <w:sz w:val="24"/>
          <w:szCs w:val="24"/>
          <w:lang w:val="en-GB"/>
        </w:rPr>
        <w:t xml:space="preserve">implementation of mitigation actions, thereby contributing to greenhouse gas emissions reductions or removals and </w:t>
      </w:r>
      <w:r w:rsidRPr="00D316AB">
        <w:rPr>
          <w:rFonts w:eastAsia="ＭＳ ゴシック" w:cs="Times New Roman"/>
          <w:kern w:val="2"/>
          <w:sz w:val="24"/>
          <w:szCs w:val="24"/>
          <w:lang w:eastAsia="ja-JP"/>
        </w:rPr>
        <w:t>achiev</w:t>
      </w:r>
      <w:r>
        <w:rPr>
          <w:rFonts w:eastAsia="ＭＳ ゴシック" w:cs="Times New Roman" w:hint="eastAsia"/>
          <w:kern w:val="2"/>
          <w:sz w:val="24"/>
          <w:szCs w:val="24"/>
          <w:lang w:eastAsia="ja-JP"/>
        </w:rPr>
        <w:t>ing</w:t>
      </w:r>
      <w:r w:rsidRPr="00600AD0">
        <w:rPr>
          <w:rFonts w:eastAsia="ＭＳ ゴシック" w:cs="Times New Roman"/>
          <w:kern w:val="2"/>
          <w:sz w:val="24"/>
          <w:szCs w:val="24"/>
          <w:lang w:eastAsia="ja-JP"/>
        </w:rPr>
        <w:t xml:space="preserve"> </w:t>
      </w:r>
      <w:r w:rsidRPr="00600AD0">
        <w:rPr>
          <w:kern w:val="2"/>
          <w:sz w:val="24"/>
          <w:szCs w:val="24"/>
          <w:lang w:val="en-GB"/>
        </w:rPr>
        <w:t xml:space="preserve">sustainable development in </w:t>
      </w:r>
      <w:r w:rsidRPr="00600AD0">
        <w:rPr>
          <w:rFonts w:eastAsia="ＭＳ ゴシック" w:cs="Times New Roman"/>
          <w:kern w:val="2"/>
          <w:sz w:val="24"/>
          <w:szCs w:val="24"/>
          <w:lang w:val="en-GB" w:eastAsia="ja-JP"/>
        </w:rPr>
        <w:t xml:space="preserve">the Sultanate of </w:t>
      </w:r>
      <w:r w:rsidRPr="00600AD0">
        <w:rPr>
          <w:kern w:val="2"/>
          <w:sz w:val="24"/>
          <w:szCs w:val="24"/>
          <w:lang w:val="en-GB"/>
        </w:rPr>
        <w:t>Oman, and the achievement of nationally determined contributions of</w:t>
      </w:r>
      <w:r w:rsidRPr="00600AD0">
        <w:rPr>
          <w:kern w:val="2"/>
          <w:sz w:val="24"/>
          <w:szCs w:val="24"/>
        </w:rPr>
        <w:t xml:space="preserve"> </w:t>
      </w:r>
      <w:r w:rsidRPr="00600AD0">
        <w:rPr>
          <w:kern w:val="2"/>
          <w:sz w:val="24"/>
          <w:szCs w:val="24"/>
          <w:lang w:val="en-GB"/>
        </w:rPr>
        <w:t>Japan</w:t>
      </w:r>
      <w:r w:rsidRPr="00600AD0">
        <w:rPr>
          <w:rFonts w:eastAsia="ＭＳ ゴシック" w:cs="Times New Roman"/>
          <w:kern w:val="2"/>
          <w:sz w:val="24"/>
          <w:szCs w:val="24"/>
          <w:lang w:eastAsia="ja-JP"/>
        </w:rPr>
        <w:t xml:space="preserve"> </w:t>
      </w:r>
      <w:r>
        <w:rPr>
          <w:rFonts w:eastAsia="ＭＳ ゴシック" w:cs="Times New Roman" w:hint="eastAsia"/>
          <w:kern w:val="2"/>
          <w:sz w:val="24"/>
          <w:szCs w:val="24"/>
          <w:lang w:eastAsia="ja-JP"/>
        </w:rPr>
        <w:t xml:space="preserve">and </w:t>
      </w:r>
      <w:r w:rsidRPr="00600AD0">
        <w:rPr>
          <w:rFonts w:eastAsia="ＭＳ ゴシック" w:cs="Times New Roman"/>
          <w:kern w:val="2"/>
          <w:sz w:val="24"/>
          <w:szCs w:val="24"/>
          <w:lang w:eastAsia="ja-JP"/>
        </w:rPr>
        <w:t>the Sultanate of Oman</w:t>
      </w:r>
      <w:r w:rsidRPr="00D316AB">
        <w:rPr>
          <w:kern w:val="2"/>
          <w:sz w:val="24"/>
          <w:szCs w:val="24"/>
          <w:lang w:val="en-GB"/>
        </w:rPr>
        <w:t xml:space="preserve">. </w:t>
      </w:r>
    </w:p>
    <w:p w14:paraId="779DD595" w14:textId="77777777" w:rsidR="001316C8" w:rsidRPr="00D316AB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D316AB">
        <w:rPr>
          <w:kern w:val="2"/>
          <w:sz w:val="24"/>
          <w:szCs w:val="24"/>
          <w:lang w:val="en-GB"/>
        </w:rPr>
        <w:t xml:space="preserve">Both </w:t>
      </w:r>
      <w:r w:rsidRPr="1E62C904">
        <w:rPr>
          <w:rFonts w:eastAsia="ＭＳ ゴシック" w:cs="Times New Roman"/>
          <w:sz w:val="24"/>
          <w:szCs w:val="24"/>
          <w:lang w:val="en-GB" w:eastAsia="ja-JP"/>
        </w:rPr>
        <w:t>Governments</w:t>
      </w:r>
      <w:r w:rsidRPr="00D316AB">
        <w:rPr>
          <w:kern w:val="2"/>
          <w:sz w:val="24"/>
          <w:szCs w:val="24"/>
          <w:lang w:val="en-GB"/>
        </w:rPr>
        <w:t xml:space="preserve"> implement the JCM </w:t>
      </w:r>
      <w:r w:rsidRPr="1E62C904">
        <w:rPr>
          <w:sz w:val="24"/>
          <w:szCs w:val="24"/>
          <w:lang w:val="en-GB"/>
        </w:rPr>
        <w:t xml:space="preserve">in accordance with the relevant </w:t>
      </w:r>
      <w:r w:rsidRPr="1E62C904">
        <w:rPr>
          <w:rFonts w:eastAsia="ＭＳ ゴシック" w:cs="Times New Roman"/>
          <w:sz w:val="24"/>
          <w:szCs w:val="24"/>
          <w:lang w:val="en-GB" w:eastAsia="ja-JP"/>
        </w:rPr>
        <w:t>national</w:t>
      </w:r>
      <w:r w:rsidRPr="00D316AB">
        <w:rPr>
          <w:kern w:val="2"/>
          <w:sz w:val="24"/>
          <w:szCs w:val="24"/>
          <w:lang w:val="en-GB"/>
        </w:rPr>
        <w:t xml:space="preserve"> laws and regulations </w:t>
      </w:r>
      <w:r w:rsidRPr="1E62C904">
        <w:rPr>
          <w:sz w:val="24"/>
          <w:szCs w:val="24"/>
          <w:lang w:val="en-GB"/>
        </w:rPr>
        <w:t xml:space="preserve">in </w:t>
      </w:r>
      <w:r w:rsidRPr="1E62C904">
        <w:rPr>
          <w:rFonts w:eastAsia="ＭＳ ゴシック" w:cs="Times New Roman"/>
          <w:sz w:val="24"/>
          <w:szCs w:val="24"/>
          <w:lang w:eastAsia="ja-JP"/>
        </w:rPr>
        <w:t>both</w:t>
      </w:r>
      <w:r w:rsidRPr="00D316AB">
        <w:rPr>
          <w:kern w:val="2"/>
          <w:sz w:val="24"/>
          <w:szCs w:val="24"/>
          <w:lang w:val="en-GB"/>
        </w:rPr>
        <w:t xml:space="preserve"> countries.</w:t>
      </w:r>
    </w:p>
    <w:p w14:paraId="7D17AC7C" w14:textId="77777777" w:rsidR="001316C8" w:rsidRPr="00D316AB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D316AB">
        <w:rPr>
          <w:kern w:val="2"/>
          <w:sz w:val="24"/>
          <w:szCs w:val="24"/>
          <w:lang w:val="en-GB"/>
        </w:rPr>
        <w:t xml:space="preserve">Both </w:t>
      </w:r>
      <w:r w:rsidRPr="00D316AB">
        <w:rPr>
          <w:rFonts w:eastAsia="ＭＳ ゴシック" w:cs="Times New Roman"/>
          <w:kern w:val="2"/>
          <w:sz w:val="24"/>
          <w:szCs w:val="24"/>
          <w:lang w:val="en-GB" w:eastAsia="ja-JP"/>
        </w:rPr>
        <w:t>Governments</w:t>
      </w:r>
      <w:r w:rsidRPr="00D316AB">
        <w:rPr>
          <w:kern w:val="2"/>
          <w:sz w:val="24"/>
          <w:szCs w:val="24"/>
          <w:lang w:val="en-GB"/>
        </w:rPr>
        <w:t xml:space="preserve"> establish </w:t>
      </w:r>
      <w:r>
        <w:rPr>
          <w:rFonts w:hint="eastAsia"/>
          <w:kern w:val="2"/>
          <w:sz w:val="24"/>
          <w:szCs w:val="24"/>
          <w:lang w:val="en-GB" w:eastAsia="ja-JP"/>
        </w:rPr>
        <w:t xml:space="preserve">a </w:t>
      </w:r>
      <w:r>
        <w:rPr>
          <w:rFonts w:eastAsia="ＭＳ ゴシック" w:cs="Times New Roman" w:hint="eastAsia"/>
          <w:kern w:val="2"/>
          <w:sz w:val="24"/>
          <w:szCs w:val="24"/>
          <w:lang w:val="en-GB" w:eastAsia="ja-JP"/>
        </w:rPr>
        <w:t xml:space="preserve">Joint Committee </w:t>
      </w:r>
      <w:r w:rsidRPr="00600AD0">
        <w:rPr>
          <w:kern w:val="2"/>
          <w:sz w:val="24"/>
          <w:szCs w:val="24"/>
          <w:lang w:val="en-GB"/>
        </w:rPr>
        <w:t xml:space="preserve">consisting of representatives from each </w:t>
      </w:r>
      <w:r w:rsidRPr="00D316AB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</w:t>
      </w:r>
      <w:r w:rsidRPr="00D316AB">
        <w:rPr>
          <w:kern w:val="2"/>
          <w:sz w:val="24"/>
          <w:szCs w:val="24"/>
          <w:lang w:val="en-GB"/>
        </w:rPr>
        <w:t xml:space="preserve"> to implement the JCM.</w:t>
      </w:r>
    </w:p>
    <w:p w14:paraId="10411EE4" w14:textId="77777777" w:rsidR="001316C8" w:rsidRPr="00D316AB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</w:rPr>
      </w:pPr>
      <w:r w:rsidRPr="00D316AB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The</w:t>
      </w:r>
      <w:r>
        <w:rPr>
          <w:rFonts w:eastAsia="ＭＳ ゴシック" w:cs="Times New Roman" w:hint="eastAsia"/>
          <w:iCs/>
          <w:kern w:val="2"/>
          <w:sz w:val="24"/>
          <w:szCs w:val="24"/>
          <w:lang w:val="en-GB" w:eastAsia="ja-JP"/>
        </w:rPr>
        <w:t xml:space="preserve"> Joint Committee</w:t>
      </w:r>
      <w:r w:rsidRPr="00D316AB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 xml:space="preserve"> </w:t>
      </w:r>
      <w:r w:rsidRPr="00D316AB">
        <w:rPr>
          <w:rFonts w:eastAsia="ＭＳ ゴシック" w:cs="Times New Roman"/>
          <w:kern w:val="2"/>
          <w:sz w:val="24"/>
          <w:szCs w:val="24"/>
          <w:lang w:val="en-GB" w:eastAsia="ja-JP"/>
        </w:rPr>
        <w:t xml:space="preserve">facilitate the </w:t>
      </w:r>
      <w:r w:rsidRPr="00D316AB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development of the</w:t>
      </w:r>
      <w:r w:rsidRPr="00D316AB">
        <w:rPr>
          <w:kern w:val="2"/>
          <w:sz w:val="24"/>
          <w:szCs w:val="24"/>
          <w:lang w:val="en-GB"/>
        </w:rPr>
        <w:t xml:space="preserve"> rules and guidelines necessary for the implementation of the JCM, relating to project cycle procedures, methodologies, project design documents, monitoring, designation of third-party entities, validation and verification</w:t>
      </w:r>
      <w:r w:rsidRPr="00D316AB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,</w:t>
      </w:r>
      <w:r w:rsidRPr="00D316AB">
        <w:rPr>
          <w:kern w:val="2"/>
          <w:sz w:val="24"/>
          <w:szCs w:val="24"/>
          <w:lang w:val="en-GB"/>
        </w:rPr>
        <w:t xml:space="preserve"> and other related matters of the JCM including the distribution of the JCM credits.</w:t>
      </w:r>
    </w:p>
    <w:p w14:paraId="2D4ABE76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rFonts w:cs="Times New Roman"/>
          <w:iCs/>
          <w:kern w:val="2"/>
          <w:sz w:val="24"/>
          <w:szCs w:val="24"/>
          <w:rtl/>
          <w:lang w:val="en-GB"/>
        </w:rPr>
      </w:pPr>
      <w:r w:rsidRPr="00D316AB">
        <w:rPr>
          <w:kern w:val="2"/>
          <w:sz w:val="24"/>
          <w:szCs w:val="24"/>
          <w:lang w:val="en-GB"/>
        </w:rPr>
        <w:t xml:space="preserve">Both </w:t>
      </w:r>
      <w:r w:rsidRPr="00D316AB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Governments</w:t>
      </w:r>
      <w:r w:rsidRPr="00D316AB">
        <w:rPr>
          <w:kern w:val="2"/>
          <w:sz w:val="24"/>
          <w:szCs w:val="24"/>
          <w:lang w:val="en-GB"/>
        </w:rPr>
        <w:t xml:space="preserve"> mutually recognize that the JCM credits issued from emission reductions and removals contribute towards the achievement of </w:t>
      </w:r>
      <w:r w:rsidRPr="00D316AB">
        <w:rPr>
          <w:kern w:val="2"/>
          <w:sz w:val="24"/>
          <w:szCs w:val="24"/>
        </w:rPr>
        <w:t>Japan’s</w:t>
      </w:r>
      <w:r w:rsidRPr="00D316AB">
        <w:rPr>
          <w:rFonts w:eastAsia="ＭＳ ゴシック" w:cs="Times New Roman"/>
          <w:iCs/>
          <w:kern w:val="2"/>
          <w:sz w:val="24"/>
          <w:szCs w:val="24"/>
          <w:lang w:eastAsia="ja-JP"/>
        </w:rPr>
        <w:t xml:space="preserve"> </w:t>
      </w:r>
      <w:r>
        <w:rPr>
          <w:rFonts w:eastAsia="ＭＳ ゴシック" w:cs="Times New Roman" w:hint="eastAsia"/>
          <w:iCs/>
          <w:kern w:val="2"/>
          <w:sz w:val="24"/>
          <w:szCs w:val="24"/>
          <w:lang w:eastAsia="ja-JP"/>
        </w:rPr>
        <w:t xml:space="preserve">and </w:t>
      </w:r>
      <w:r w:rsidRPr="00D316AB">
        <w:rPr>
          <w:rFonts w:eastAsia="ＭＳ ゴシック" w:cs="Times New Roman"/>
          <w:iCs/>
          <w:kern w:val="2"/>
          <w:sz w:val="24"/>
          <w:szCs w:val="24"/>
          <w:lang w:eastAsia="ja-JP"/>
        </w:rPr>
        <w:t>the Sultanate of Oman’s</w:t>
      </w:r>
      <w:r w:rsidRPr="00D316AB">
        <w:rPr>
          <w:kern w:val="2"/>
          <w:sz w:val="24"/>
          <w:szCs w:val="24"/>
        </w:rPr>
        <w:t xml:space="preserve"> </w:t>
      </w:r>
      <w:r w:rsidRPr="00D316AB">
        <w:rPr>
          <w:kern w:val="2"/>
          <w:sz w:val="24"/>
          <w:szCs w:val="24"/>
          <w:lang w:val="en-GB"/>
        </w:rPr>
        <w:t xml:space="preserve">nationally determined contribution, while ensuring that double counting is avoided on the basis of corresponding adjustments, consistent with the guidance on cooperative approaches, referred to in Article 6, paragraph 2 of the Paris Agreement </w:t>
      </w:r>
      <w:r w:rsidRPr="00D316AB">
        <w:rPr>
          <w:rFonts w:eastAsia="ＭＳ ゴシック" w:cs="Times New Roman"/>
          <w:kern w:val="2"/>
          <w:sz w:val="24"/>
          <w:szCs w:val="24"/>
          <w:lang w:eastAsia="ja-JP"/>
        </w:rPr>
        <w:t>on Climate Change</w:t>
      </w:r>
      <w:r w:rsidRPr="00D316AB">
        <w:rPr>
          <w:rFonts w:eastAsia="ＭＳ ゴシック" w:cs="Times New Roman"/>
          <w:kern w:val="2"/>
          <w:sz w:val="24"/>
          <w:szCs w:val="24"/>
          <w:rtl/>
          <w:lang w:eastAsia="ja-JP"/>
        </w:rPr>
        <w:t xml:space="preserve"> </w:t>
      </w:r>
      <w:r w:rsidRPr="00D316AB">
        <w:rPr>
          <w:kern w:val="2"/>
          <w:sz w:val="24"/>
          <w:szCs w:val="24"/>
          <w:lang w:val="en-GB"/>
        </w:rPr>
        <w:t xml:space="preserve">(hereinafter referred to as “the </w:t>
      </w:r>
      <w:r w:rsidRPr="00D316AB">
        <w:rPr>
          <w:rFonts w:eastAsia="ＭＳ ゴシック" w:cs="Times New Roman"/>
          <w:kern w:val="2"/>
          <w:sz w:val="24"/>
          <w:szCs w:val="24"/>
          <w:lang w:val="en-GB" w:eastAsia="ja-JP"/>
        </w:rPr>
        <w:t>Guidance</w:t>
      </w:r>
      <w:r w:rsidRPr="00D316AB">
        <w:rPr>
          <w:kern w:val="2"/>
          <w:sz w:val="24"/>
          <w:szCs w:val="24"/>
          <w:lang w:val="en-GB"/>
        </w:rPr>
        <w:t>”).</w:t>
      </w:r>
    </w:p>
    <w:p w14:paraId="27798019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932AD4">
        <w:rPr>
          <w:kern w:val="2"/>
          <w:sz w:val="24"/>
          <w:szCs w:val="24"/>
          <w:lang w:val="en-GB"/>
        </w:rPr>
        <w:t xml:space="preserve">Each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</w:t>
      </w:r>
      <w:r w:rsidRPr="00932AD4">
        <w:rPr>
          <w:kern w:val="2"/>
          <w:sz w:val="24"/>
          <w:szCs w:val="24"/>
          <w:lang w:val="en-GB"/>
        </w:rPr>
        <w:t xml:space="preserve"> authorizes the JCM credits issued in the JCM registry of </w:t>
      </w:r>
      <w:r w:rsidRPr="00600AD0">
        <w:rPr>
          <w:rFonts w:eastAsia="ＭＳ ゴシック" w:cs="Times New Roman"/>
          <w:iCs/>
          <w:kern w:val="2"/>
          <w:sz w:val="24"/>
          <w:szCs w:val="24"/>
          <w:lang w:eastAsia="ja-JP"/>
        </w:rPr>
        <w:t>Japan</w:t>
      </w:r>
      <w:r w:rsidRPr="00600AD0">
        <w:rPr>
          <w:kern w:val="2"/>
          <w:sz w:val="24"/>
          <w:szCs w:val="24"/>
          <w:lang w:val="en-GB"/>
        </w:rPr>
        <w:t xml:space="preserve"> for use towards the achievement of </w:t>
      </w:r>
      <w:r w:rsidRPr="00600AD0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Japan’s</w:t>
      </w:r>
      <w:r w:rsidRPr="00600AD0">
        <w:rPr>
          <w:kern w:val="2"/>
          <w:sz w:val="24"/>
          <w:szCs w:val="24"/>
          <w:lang w:val="en-GB"/>
        </w:rPr>
        <w:t xml:space="preserve"> nationally determined contribution as internationally transferred mitigation outcomes, consistent with the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Guidance</w:t>
      </w:r>
      <w:r w:rsidRPr="00932AD4">
        <w:rPr>
          <w:kern w:val="2"/>
          <w:sz w:val="24"/>
          <w:szCs w:val="24"/>
          <w:lang w:val="en-GB"/>
        </w:rPr>
        <w:t>.</w:t>
      </w:r>
    </w:p>
    <w:p w14:paraId="7B3400A4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932AD4">
        <w:rPr>
          <w:kern w:val="2"/>
          <w:sz w:val="24"/>
          <w:szCs w:val="24"/>
          <w:lang w:val="en-GB"/>
        </w:rPr>
        <w:lastRenderedPageBreak/>
        <w:t xml:space="preserve">Each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</w:t>
      </w:r>
      <w:r w:rsidRPr="00932AD4">
        <w:rPr>
          <w:kern w:val="2"/>
          <w:sz w:val="24"/>
          <w:szCs w:val="24"/>
          <w:lang w:val="en-GB"/>
        </w:rPr>
        <w:t xml:space="preserve"> may authorize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 xml:space="preserve">the use of </w:t>
      </w:r>
      <w:r w:rsidRPr="00932AD4">
        <w:rPr>
          <w:kern w:val="2"/>
          <w:sz w:val="24"/>
          <w:szCs w:val="24"/>
          <w:lang w:val="en-GB"/>
        </w:rPr>
        <w:t xml:space="preserve">part of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 xml:space="preserve">the </w:t>
      </w:r>
      <w:r w:rsidRPr="00932AD4">
        <w:rPr>
          <w:kern w:val="2"/>
          <w:sz w:val="24"/>
          <w:szCs w:val="24"/>
          <w:lang w:val="en-GB"/>
        </w:rPr>
        <w:t xml:space="preserve">JCM credits for other international mitigation purposes, as appropriate, consistent with the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Guidance</w:t>
      </w:r>
      <w:r w:rsidRPr="00932AD4">
        <w:rPr>
          <w:kern w:val="2"/>
          <w:sz w:val="24"/>
          <w:szCs w:val="24"/>
          <w:lang w:val="en-GB"/>
        </w:rPr>
        <w:t>.</w:t>
      </w:r>
    </w:p>
    <w:p w14:paraId="15099150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932AD4">
        <w:rPr>
          <w:kern w:val="2"/>
          <w:sz w:val="24"/>
          <w:szCs w:val="24"/>
          <w:lang w:val="en-GB"/>
        </w:rPr>
        <w:t xml:space="preserve">Both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Governments</w:t>
      </w:r>
      <w:r w:rsidRPr="00932AD4">
        <w:rPr>
          <w:kern w:val="2"/>
          <w:sz w:val="24"/>
          <w:szCs w:val="24"/>
          <w:lang w:val="en-GB"/>
        </w:rPr>
        <w:t xml:space="preserve"> ensure the transparency and environmental integrity of the JCM and maintain it</w:t>
      </w:r>
      <w:r w:rsidRPr="00600AD0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s simplicity</w:t>
      </w:r>
      <w:r w:rsidRPr="00600AD0">
        <w:rPr>
          <w:kern w:val="2"/>
          <w:sz w:val="24"/>
          <w:szCs w:val="24"/>
          <w:lang w:val="en-GB"/>
        </w:rPr>
        <w:t xml:space="preserve"> and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practicality</w:t>
      </w:r>
      <w:r w:rsidRPr="00932AD4">
        <w:rPr>
          <w:kern w:val="2"/>
          <w:sz w:val="24"/>
          <w:szCs w:val="24"/>
          <w:lang w:val="en-GB"/>
        </w:rPr>
        <w:t>, to promote concrete actions for global greenhouse gas emission reductions and removals.</w:t>
      </w:r>
    </w:p>
    <w:p w14:paraId="2B1855BF" w14:textId="77777777" w:rsidR="001316C8" w:rsidRPr="00600AD0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</w:rPr>
      </w:pPr>
      <w:r w:rsidRPr="00932AD4">
        <w:rPr>
          <w:kern w:val="2"/>
          <w:sz w:val="24"/>
          <w:szCs w:val="24"/>
          <w:lang w:val="en-GB"/>
        </w:rPr>
        <w:t xml:space="preserve">Both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Governments</w:t>
      </w:r>
      <w:r w:rsidRPr="00932AD4">
        <w:rPr>
          <w:kern w:val="2"/>
          <w:sz w:val="24"/>
          <w:szCs w:val="24"/>
          <w:lang w:val="en-GB"/>
        </w:rPr>
        <w:t xml:space="preserve"> work in close cooperation for the implementation of the JCM. The Government of Japan </w:t>
      </w:r>
      <w:r w:rsidRPr="00600AD0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will</w:t>
      </w:r>
      <w:r w:rsidRPr="00600AD0">
        <w:rPr>
          <w:kern w:val="2"/>
          <w:sz w:val="24"/>
          <w:szCs w:val="24"/>
          <w:lang w:val="en-GB"/>
        </w:rPr>
        <w:t xml:space="preserve"> facilitate technological and capacity building support necessary for the administration of the JCM by the Government of </w:t>
      </w:r>
      <w:r w:rsidRPr="00600AD0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 xml:space="preserve">the Sultanate of </w:t>
      </w:r>
      <w:r w:rsidRPr="00600AD0">
        <w:rPr>
          <w:kern w:val="2"/>
          <w:sz w:val="24"/>
          <w:szCs w:val="24"/>
          <w:lang w:val="en-GB"/>
        </w:rPr>
        <w:t xml:space="preserve">Oman. </w:t>
      </w:r>
    </w:p>
    <w:p w14:paraId="5F9E5641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bookmarkStart w:id="1" w:name="_Hlk8723815"/>
      <w:r w:rsidRPr="00932AD4">
        <w:rPr>
          <w:kern w:val="2"/>
          <w:sz w:val="24"/>
          <w:szCs w:val="24"/>
          <w:lang w:val="en-GB"/>
        </w:rPr>
        <w:t xml:space="preserve">Either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</w:t>
      </w:r>
      <w:r w:rsidRPr="00932AD4">
        <w:rPr>
          <w:kern w:val="2"/>
          <w:sz w:val="24"/>
          <w:szCs w:val="24"/>
          <w:lang w:val="en-GB"/>
        </w:rPr>
        <w:t xml:space="preserve"> may </w:t>
      </w:r>
      <w:r>
        <w:rPr>
          <w:rFonts w:hint="eastAsia"/>
          <w:kern w:val="2"/>
          <w:sz w:val="24"/>
          <w:szCs w:val="24"/>
          <w:lang w:val="en-GB" w:eastAsia="ja-JP"/>
        </w:rPr>
        <w:t>discontinue</w:t>
      </w:r>
      <w:r w:rsidRPr="00932AD4">
        <w:rPr>
          <w:kern w:val="2"/>
          <w:sz w:val="24"/>
          <w:szCs w:val="24"/>
          <w:lang w:val="en-GB"/>
        </w:rPr>
        <w:t xml:space="preserve"> this Memorandum by giving at least six (6) months’ prior notice to the other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</w:t>
      </w:r>
      <w:r w:rsidRPr="00932AD4">
        <w:rPr>
          <w:kern w:val="2"/>
          <w:sz w:val="24"/>
          <w:szCs w:val="24"/>
          <w:lang w:val="en-GB"/>
        </w:rPr>
        <w:t xml:space="preserve"> through </w:t>
      </w:r>
      <w:r>
        <w:rPr>
          <w:rFonts w:hint="eastAsia"/>
          <w:kern w:val="2"/>
          <w:sz w:val="24"/>
          <w:szCs w:val="24"/>
          <w:lang w:val="en-GB" w:eastAsia="ja-JP"/>
        </w:rPr>
        <w:t xml:space="preserve">the </w:t>
      </w:r>
      <w:r w:rsidRPr="00932AD4">
        <w:rPr>
          <w:kern w:val="2"/>
          <w:sz w:val="24"/>
          <w:szCs w:val="24"/>
          <w:lang w:val="en-GB"/>
        </w:rPr>
        <w:t xml:space="preserve">diplomatic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channel</w:t>
      </w:r>
      <w:r w:rsidRPr="00932AD4">
        <w:rPr>
          <w:kern w:val="2"/>
          <w:sz w:val="24"/>
          <w:szCs w:val="24"/>
          <w:lang w:val="en-GB"/>
        </w:rPr>
        <w:t>. Such termination will not affect existing projects or activities under this Memorandum.</w:t>
      </w:r>
    </w:p>
    <w:bookmarkEnd w:id="1"/>
    <w:p w14:paraId="585FDB98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932AD4">
        <w:rPr>
          <w:rFonts w:eastAsia="ＭＳ ゴシック" w:cs="Times New Roman"/>
          <w:iCs/>
          <w:kern w:val="2"/>
          <w:sz w:val="24"/>
          <w:szCs w:val="24"/>
          <w:lang w:eastAsia="ja-JP"/>
        </w:rPr>
        <w:t>T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his</w:t>
      </w:r>
      <w:r w:rsidRPr="00932AD4">
        <w:rPr>
          <w:kern w:val="2"/>
          <w:sz w:val="24"/>
          <w:szCs w:val="24"/>
          <w:lang w:val="en-GB"/>
        </w:rPr>
        <w:t xml:space="preserve"> Memorandum may be modified and supplemented by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 xml:space="preserve">the </w:t>
      </w:r>
      <w:r w:rsidRPr="00932AD4">
        <w:rPr>
          <w:kern w:val="2"/>
          <w:sz w:val="24"/>
          <w:szCs w:val="24"/>
          <w:lang w:val="en-GB"/>
        </w:rPr>
        <w:t xml:space="preserve">mutual written consent between both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Governments</w:t>
      </w:r>
      <w:r w:rsidRPr="00932AD4">
        <w:rPr>
          <w:kern w:val="2"/>
          <w:sz w:val="24"/>
          <w:szCs w:val="24"/>
          <w:lang w:val="en-GB"/>
        </w:rPr>
        <w:t>.</w:t>
      </w:r>
    </w:p>
    <w:p w14:paraId="70784A35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kern w:val="2"/>
          <w:sz w:val="24"/>
          <w:szCs w:val="24"/>
          <w:lang w:val="en-GB"/>
        </w:rPr>
      </w:pPr>
      <w:r w:rsidRPr="00600AD0">
        <w:rPr>
          <w:kern w:val="2"/>
          <w:sz w:val="24"/>
          <w:szCs w:val="24"/>
          <w:lang w:val="en-GB"/>
        </w:rPr>
        <w:t xml:space="preserve">Any differences in the interpretation, application and implementation of this Memorandum </w:t>
      </w:r>
      <w:r w:rsidRPr="00600AD0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are</w:t>
      </w:r>
      <w:r w:rsidRPr="00932AD4">
        <w:rPr>
          <w:kern w:val="2"/>
          <w:sz w:val="24"/>
          <w:szCs w:val="24"/>
          <w:lang w:val="en-GB"/>
        </w:rPr>
        <w:t xml:space="preserve"> resolved amicably through consultations between both </w:t>
      </w:r>
      <w:r w:rsidRPr="00932AD4">
        <w:rPr>
          <w:rFonts w:eastAsia="ＭＳ ゴシック" w:cs="Times New Roman"/>
          <w:iCs/>
          <w:kern w:val="2"/>
          <w:sz w:val="24"/>
          <w:szCs w:val="24"/>
          <w:lang w:val="en-GB" w:eastAsia="ja-JP"/>
        </w:rPr>
        <w:t>Governments</w:t>
      </w:r>
      <w:r w:rsidRPr="00932AD4">
        <w:rPr>
          <w:kern w:val="2"/>
          <w:sz w:val="24"/>
          <w:szCs w:val="24"/>
          <w:lang w:val="en-GB"/>
        </w:rPr>
        <w:t xml:space="preserve">. </w:t>
      </w:r>
    </w:p>
    <w:p w14:paraId="51C3B3FC" w14:textId="77777777" w:rsidR="001316C8" w:rsidRPr="00932AD4" w:rsidRDefault="001316C8" w:rsidP="001316C8">
      <w:pPr>
        <w:pStyle w:val="a9"/>
        <w:widowControl w:val="0"/>
        <w:numPr>
          <w:ilvl w:val="0"/>
          <w:numId w:val="1"/>
        </w:numPr>
        <w:bidi w:val="0"/>
        <w:spacing w:afterLines="50" w:after="163" w:line="320" w:lineRule="exact"/>
        <w:ind w:left="442" w:hanging="442"/>
        <w:contextualSpacing w:val="0"/>
        <w:rPr>
          <w:rFonts w:eastAsia="ＭＳ ゴシック" w:cs="Times New Roman"/>
          <w:iCs/>
          <w:kern w:val="2"/>
          <w:sz w:val="24"/>
          <w:szCs w:val="24"/>
          <w:rtl/>
          <w:lang w:eastAsia="ja-JP"/>
        </w:rPr>
      </w:pPr>
      <w:r w:rsidRPr="00600AD0">
        <w:rPr>
          <w:kern w:val="2"/>
          <w:sz w:val="24"/>
          <w:szCs w:val="24"/>
          <w:lang w:val="en-GB"/>
        </w:rPr>
        <w:t xml:space="preserve">This Memorandum is not an international agreement and does not create any legal rights or obligations under international law for both </w:t>
      </w:r>
      <w:r w:rsidRPr="00932AD4">
        <w:rPr>
          <w:rFonts w:eastAsia="游明朝" w:cs="Times New Roman"/>
          <w:kern w:val="2"/>
          <w:sz w:val="24"/>
          <w:szCs w:val="24"/>
          <w:lang w:val="en-GB" w:eastAsia="ja-JP"/>
        </w:rPr>
        <w:t>Governments</w:t>
      </w:r>
      <w:r w:rsidRPr="00932AD4">
        <w:rPr>
          <w:rFonts w:eastAsia="ＭＳ ゴシック" w:cs="Times New Roman"/>
          <w:iCs/>
          <w:kern w:val="2"/>
          <w:sz w:val="24"/>
          <w:szCs w:val="24"/>
          <w:lang w:eastAsia="ja-JP"/>
        </w:rPr>
        <w:t xml:space="preserve">, nor does it prejudice the obligations arising from bilateral agreements to which both Governments are </w:t>
      </w:r>
      <w:r>
        <w:rPr>
          <w:rFonts w:eastAsia="ＭＳ ゴシック" w:cs="Times New Roman" w:hint="eastAsia"/>
          <w:iCs/>
          <w:kern w:val="2"/>
          <w:sz w:val="24"/>
          <w:szCs w:val="24"/>
          <w:lang w:eastAsia="ja-JP"/>
        </w:rPr>
        <w:t>Parties</w:t>
      </w:r>
      <w:r w:rsidRPr="00932AD4">
        <w:rPr>
          <w:rFonts w:eastAsia="ＭＳ ゴシック" w:cs="Times New Roman"/>
          <w:iCs/>
          <w:kern w:val="2"/>
          <w:sz w:val="24"/>
          <w:szCs w:val="24"/>
          <w:lang w:eastAsia="ja-JP"/>
        </w:rPr>
        <w:t xml:space="preserve">. </w:t>
      </w:r>
    </w:p>
    <w:p w14:paraId="5BDCB791" w14:textId="77777777" w:rsidR="001316C8" w:rsidRPr="003F2FF4" w:rsidRDefault="001316C8" w:rsidP="001316C8">
      <w:pPr>
        <w:widowControl w:val="0"/>
        <w:bidi w:val="0"/>
        <w:spacing w:before="120"/>
        <w:ind w:leftChars="-59" w:left="195" w:hangingChars="150" w:hanging="360"/>
        <w:rPr>
          <w:kern w:val="2"/>
          <w:sz w:val="24"/>
          <w:szCs w:val="24"/>
          <w:lang w:val="en-GB" w:eastAsia="ja-JP"/>
        </w:rPr>
      </w:pPr>
    </w:p>
    <w:p w14:paraId="3D7B1A88" w14:textId="7A63410F" w:rsidR="001316C8" w:rsidRPr="003F2FF4" w:rsidRDefault="00336FA8" w:rsidP="001316C8">
      <w:pPr>
        <w:widowControl w:val="0"/>
        <w:bidi w:val="0"/>
        <w:spacing w:before="120"/>
        <w:ind w:leftChars="-52" w:left="-146" w:firstLine="1"/>
        <w:rPr>
          <w:rFonts w:eastAsia="游明朝" w:cs="Times New Roman"/>
          <w:kern w:val="2"/>
          <w:sz w:val="24"/>
          <w:szCs w:val="24"/>
          <w:lang w:val="en-GB" w:eastAsia="ja-JP"/>
        </w:rPr>
      </w:pPr>
      <w:r w:rsidRPr="003F2FF4">
        <w:rPr>
          <w:kern w:val="2"/>
          <w:sz w:val="24"/>
          <w:szCs w:val="24"/>
          <w:lang w:val="en-GB"/>
        </w:rPr>
        <w:t xml:space="preserve">Signed in </w:t>
      </w:r>
      <w:r w:rsidRPr="000F67F0">
        <w:rPr>
          <w:rFonts w:hint="eastAsia"/>
          <w:sz w:val="24"/>
          <w:szCs w:val="24"/>
          <w:lang w:eastAsia="ja-JP"/>
        </w:rPr>
        <w:t>Muscat</w:t>
      </w:r>
      <w:r w:rsidRPr="000F67F0">
        <w:rPr>
          <w:rFonts w:eastAsia="游明朝"/>
          <w:sz w:val="24"/>
          <w:szCs w:val="24"/>
        </w:rPr>
        <w:t>,</w:t>
      </w:r>
      <w:r w:rsidRPr="003F2FF4">
        <w:rPr>
          <w:sz w:val="24"/>
          <w:szCs w:val="24"/>
        </w:rPr>
        <w:t xml:space="preserve"> on</w:t>
      </w:r>
      <w:r>
        <w:rPr>
          <w:rFonts w:hint="eastAsia"/>
          <w:sz w:val="24"/>
          <w:szCs w:val="24"/>
          <w:lang w:eastAsia="ja-JP"/>
        </w:rPr>
        <w:t xml:space="preserve"> </w:t>
      </w:r>
      <w:r w:rsidR="00CA7C1F">
        <w:rPr>
          <w:rFonts w:hint="eastAsia"/>
          <w:sz w:val="24"/>
          <w:szCs w:val="24"/>
          <w:lang w:eastAsia="ja-JP"/>
        </w:rPr>
        <w:t>9th</w:t>
      </w:r>
      <w:r>
        <w:rPr>
          <w:rFonts w:hint="eastAsia"/>
          <w:sz w:val="24"/>
          <w:szCs w:val="24"/>
          <w:lang w:eastAsia="ja-JP"/>
        </w:rPr>
        <w:t xml:space="preserve"> April</w:t>
      </w:r>
      <w:r w:rsidRPr="0009655F">
        <w:rPr>
          <w:sz w:val="24"/>
          <w:szCs w:val="24"/>
        </w:rPr>
        <w:t xml:space="preserve"> 202</w:t>
      </w:r>
      <w:r w:rsidRPr="0009655F">
        <w:rPr>
          <w:rFonts w:hint="eastAsia"/>
          <w:sz w:val="24"/>
          <w:szCs w:val="24"/>
          <w:lang w:eastAsia="ja-JP"/>
        </w:rPr>
        <w:t>6</w:t>
      </w:r>
      <w:r w:rsidRPr="003F2FF4">
        <w:rPr>
          <w:sz w:val="24"/>
          <w:szCs w:val="24"/>
        </w:rPr>
        <w:t xml:space="preserve">, </w:t>
      </w:r>
      <w:r w:rsidRPr="340FCC2A">
        <w:rPr>
          <w:rFonts w:eastAsia="游明朝"/>
          <w:sz w:val="24"/>
          <w:szCs w:val="24"/>
        </w:rPr>
        <w:t xml:space="preserve">corresponding to </w:t>
      </w:r>
      <w:r w:rsidR="00CA7C1F">
        <w:rPr>
          <w:rFonts w:eastAsia="游明朝" w:hint="eastAsia"/>
          <w:sz w:val="24"/>
          <w:szCs w:val="24"/>
          <w:lang w:eastAsia="ja-JP"/>
        </w:rPr>
        <w:t>21</w:t>
      </w:r>
      <w:r w:rsidRPr="006B6108">
        <w:rPr>
          <w:rFonts w:eastAsia="游明朝"/>
          <w:sz w:val="24"/>
          <w:szCs w:val="24"/>
        </w:rPr>
        <w:t xml:space="preserve"> Shawwal 1447 AH</w:t>
      </w:r>
      <w:r w:rsidRPr="340FCC2A">
        <w:rPr>
          <w:rFonts w:eastAsia="游明朝"/>
          <w:sz w:val="24"/>
          <w:szCs w:val="24"/>
        </w:rPr>
        <w:t xml:space="preserve">, </w:t>
      </w:r>
      <w:r w:rsidRPr="003F2FF4">
        <w:rPr>
          <w:sz w:val="24"/>
          <w:szCs w:val="24"/>
        </w:rPr>
        <w:t xml:space="preserve">in two originals in the English </w:t>
      </w:r>
      <w:r w:rsidRPr="340FCC2A">
        <w:rPr>
          <w:rFonts w:eastAsia="游明朝"/>
          <w:sz w:val="24"/>
          <w:szCs w:val="24"/>
        </w:rPr>
        <w:t>language</w:t>
      </w:r>
      <w:r w:rsidR="001316C8" w:rsidRPr="340FCC2A">
        <w:rPr>
          <w:rFonts w:eastAsia="游明朝"/>
          <w:sz w:val="24"/>
          <w:szCs w:val="24"/>
        </w:rPr>
        <w:t>.</w:t>
      </w:r>
    </w:p>
    <w:p w14:paraId="36B5999D" w14:textId="77777777" w:rsidR="001316C8" w:rsidRPr="003F2FF4" w:rsidRDefault="001316C8" w:rsidP="001316C8">
      <w:pPr>
        <w:widowControl w:val="0"/>
        <w:bidi w:val="0"/>
        <w:spacing w:before="120"/>
        <w:rPr>
          <w:kern w:val="2"/>
          <w:sz w:val="24"/>
          <w:szCs w:val="24"/>
          <w:lang w:val="en-GB" w:eastAsia="ja-JP"/>
        </w:rPr>
      </w:pPr>
    </w:p>
    <w:tbl>
      <w:tblPr>
        <w:tblStyle w:val="25"/>
        <w:tblW w:w="90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4394"/>
      </w:tblGrid>
      <w:tr w:rsidR="001316C8" w:rsidRPr="003F2FF4" w14:paraId="6E6D582E" w14:textId="77777777" w:rsidTr="0096595C">
        <w:trPr>
          <w:trHeight w:val="894"/>
        </w:trPr>
        <w:tc>
          <w:tcPr>
            <w:tcW w:w="4395" w:type="dxa"/>
          </w:tcPr>
          <w:p w14:paraId="6FD2FD70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  <w:r w:rsidRPr="003F2FF4">
              <w:rPr>
                <w:b/>
                <w:sz w:val="24"/>
                <w:szCs w:val="24"/>
                <w:lang w:val="en-GB"/>
              </w:rPr>
              <w:t xml:space="preserve">For the Government of </w:t>
            </w:r>
            <w:r w:rsidRPr="003F2FF4"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  <w:t>Japan</w:t>
            </w:r>
          </w:p>
          <w:p w14:paraId="0C51B6FD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35E5C0C8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4A218D53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04378CBC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621ECB22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5263B217" w14:textId="77777777" w:rsidR="001316C8" w:rsidRPr="000B45AD" w:rsidRDefault="001316C8" w:rsidP="0096595C">
            <w:pPr>
              <w:widowControl w:val="0"/>
              <w:bidi w:val="0"/>
              <w:spacing w:line="320" w:lineRule="exact"/>
              <w:jc w:val="center"/>
              <w:rPr>
                <w:bCs/>
                <w:sz w:val="24"/>
                <w:szCs w:val="24"/>
                <w:lang w:val="en-GB"/>
              </w:rPr>
            </w:pPr>
            <w:r w:rsidRPr="000B45AD">
              <w:rPr>
                <w:rFonts w:hint="eastAsia"/>
                <w:bCs/>
                <w:sz w:val="24"/>
                <w:szCs w:val="24"/>
                <w:lang w:val="en-GB"/>
              </w:rPr>
              <w:t>SERIZAWA Kiyoshi</w:t>
            </w:r>
          </w:p>
          <w:p w14:paraId="55B3F4EB" w14:textId="77777777" w:rsidR="001316C8" w:rsidRPr="007651EB" w:rsidRDefault="001316C8" w:rsidP="009659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51EB">
              <w:rPr>
                <w:sz w:val="24"/>
                <w:szCs w:val="24"/>
              </w:rPr>
              <w:t>Ambassador Extraordinary and Plenipotentiary of Japan to</w:t>
            </w:r>
          </w:p>
          <w:p w14:paraId="73C7D008" w14:textId="77777777" w:rsidR="001316C8" w:rsidRPr="001151BE" w:rsidRDefault="001316C8" w:rsidP="0096595C">
            <w:pPr>
              <w:widowControl w:val="0"/>
              <w:bidi w:val="0"/>
              <w:spacing w:line="320" w:lineRule="exact"/>
              <w:jc w:val="center"/>
              <w:rPr>
                <w:bCs/>
                <w:sz w:val="24"/>
                <w:szCs w:val="24"/>
                <w:lang w:val="en-GB"/>
              </w:rPr>
            </w:pPr>
            <w:r w:rsidRPr="007651EB">
              <w:rPr>
                <w:sz w:val="24"/>
                <w:szCs w:val="24"/>
              </w:rPr>
              <w:t xml:space="preserve">the </w:t>
            </w:r>
            <w:r>
              <w:rPr>
                <w:rFonts w:hint="eastAsia"/>
                <w:sz w:val="24"/>
                <w:szCs w:val="24"/>
              </w:rPr>
              <w:t>Sultanate of Oman</w:t>
            </w:r>
          </w:p>
        </w:tc>
        <w:tc>
          <w:tcPr>
            <w:tcW w:w="284" w:type="dxa"/>
          </w:tcPr>
          <w:p w14:paraId="5384BBFD" w14:textId="77777777" w:rsidR="001316C8" w:rsidRPr="003F2FF4" w:rsidRDefault="001316C8" w:rsidP="0096595C">
            <w:pPr>
              <w:widowControl w:val="0"/>
              <w:bidi w:val="0"/>
              <w:spacing w:line="320" w:lineRule="exact"/>
              <w:jc w:val="left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262CC722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  <w:r w:rsidRPr="003F2FF4">
              <w:rPr>
                <w:b/>
                <w:sz w:val="24"/>
                <w:szCs w:val="24"/>
                <w:lang w:val="en-GB"/>
              </w:rPr>
              <w:t xml:space="preserve">For the Government of </w:t>
            </w:r>
            <w:r w:rsidRPr="003F2FF4"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  <w:t>the Sultanate of Oman</w:t>
            </w:r>
          </w:p>
          <w:p w14:paraId="1EE01E3F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16F527E3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rFonts w:eastAsia="游明朝" w:cs="Times New Roman"/>
                <w:b/>
                <w:bCs/>
                <w:sz w:val="24"/>
                <w:szCs w:val="24"/>
                <w:lang w:val="en-GB"/>
              </w:rPr>
            </w:pPr>
          </w:p>
          <w:p w14:paraId="5607F080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09A251D1" w14:textId="77777777" w:rsidR="001316C8" w:rsidRDefault="001316C8" w:rsidP="0096595C">
            <w:pPr>
              <w:widowControl w:val="0"/>
              <w:bidi w:val="0"/>
              <w:spacing w:line="320" w:lineRule="exact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3329874F" w14:textId="77777777" w:rsidR="001316C8" w:rsidRDefault="001316C8" w:rsidP="0096595C">
            <w:pPr>
              <w:widowControl w:val="0"/>
              <w:bidi w:val="0"/>
              <w:spacing w:line="320" w:lineRule="exact"/>
              <w:jc w:val="center"/>
              <w:rPr>
                <w:bCs/>
                <w:sz w:val="24"/>
                <w:szCs w:val="24"/>
                <w:lang w:val="en-GB"/>
              </w:rPr>
            </w:pPr>
            <w:r w:rsidRPr="001151BE">
              <w:rPr>
                <w:bCs/>
                <w:sz w:val="24"/>
                <w:szCs w:val="24"/>
                <w:lang w:val="en-GB"/>
              </w:rPr>
              <w:t>Salim bin Nasser Al Aufi</w:t>
            </w:r>
          </w:p>
          <w:p w14:paraId="5B38A702" w14:textId="77777777" w:rsidR="001316C8" w:rsidRDefault="001316C8" w:rsidP="0096595C">
            <w:pPr>
              <w:widowControl w:val="0"/>
              <w:bidi w:val="0"/>
              <w:spacing w:line="320" w:lineRule="exact"/>
              <w:jc w:val="center"/>
              <w:rPr>
                <w:bCs/>
                <w:sz w:val="24"/>
                <w:szCs w:val="24"/>
                <w:lang w:val="en-GB"/>
              </w:rPr>
            </w:pPr>
            <w:r w:rsidRPr="00710289">
              <w:rPr>
                <w:bCs/>
                <w:sz w:val="24"/>
                <w:szCs w:val="24"/>
                <w:lang w:val="en-GB"/>
              </w:rPr>
              <w:t>Minister of Energy and Minerals</w:t>
            </w:r>
            <w:r>
              <w:rPr>
                <w:rFonts w:hint="eastAsia"/>
                <w:bCs/>
                <w:sz w:val="24"/>
                <w:szCs w:val="24"/>
                <w:lang w:val="en-GB"/>
              </w:rPr>
              <w:t xml:space="preserve"> of</w:t>
            </w:r>
          </w:p>
          <w:p w14:paraId="276BD23E" w14:textId="77777777" w:rsidR="001316C8" w:rsidRPr="003F2FF4" w:rsidRDefault="001316C8" w:rsidP="0096595C">
            <w:pPr>
              <w:widowControl w:val="0"/>
              <w:bidi w:val="0"/>
              <w:spacing w:line="32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rFonts w:hint="eastAsia"/>
                <w:bCs/>
                <w:sz w:val="24"/>
                <w:szCs w:val="24"/>
                <w:lang w:val="en-GB"/>
              </w:rPr>
              <w:t>the Sultanate of Oman</w:t>
            </w:r>
          </w:p>
        </w:tc>
      </w:tr>
    </w:tbl>
    <w:p w14:paraId="252C88E3" w14:textId="77777777" w:rsidR="00991745" w:rsidRDefault="00991745">
      <w:pPr>
        <w:rPr>
          <w:lang w:eastAsia="ja-JP"/>
        </w:rPr>
      </w:pPr>
    </w:p>
    <w:sectPr w:rsidR="00991745" w:rsidSect="001316C8">
      <w:headerReference w:type="default" r:id="rId7"/>
      <w:footerReference w:type="default" r:id="rId8"/>
      <w:headerReference w:type="first" r:id="rId9"/>
      <w:pgSz w:w="11906" w:h="16838" w:code="9"/>
      <w:pgMar w:top="1134" w:right="1701" w:bottom="1276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D218" w14:textId="77777777" w:rsidR="00C6127B" w:rsidRDefault="00C6127B">
      <w:r>
        <w:separator/>
      </w:r>
    </w:p>
  </w:endnote>
  <w:endnote w:type="continuationSeparator" w:id="0">
    <w:p w14:paraId="1383B83A" w14:textId="77777777" w:rsidR="00C6127B" w:rsidRDefault="00C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ASOOB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244875"/>
      <w:docPartObj>
        <w:docPartGallery w:val="Page Numbers (Bottom of Page)"/>
        <w:docPartUnique/>
      </w:docPartObj>
    </w:sdtPr>
    <w:sdtContent>
      <w:p w14:paraId="33C98221" w14:textId="77777777" w:rsidR="001316C8" w:rsidRDefault="001316C8" w:rsidP="009A72F0">
        <w:pPr>
          <w:pStyle w:val="ad"/>
          <w:bidi w:val="0"/>
          <w:jc w:val="center"/>
        </w:pPr>
        <w:r>
          <w:rPr>
            <w:rFonts w:hint="cs"/>
            <w:rtl/>
          </w:rPr>
          <w:t xml:space="preserve"> (</w:t>
        </w:r>
        <w:r w:rsidRPr="009A72F0">
          <w:rPr>
            <w:rFonts w:ascii="Sakkal Majalla" w:hAnsi="Sakkal Majalla"/>
            <w:sz w:val="32"/>
          </w:rPr>
          <w:fldChar w:fldCharType="begin"/>
        </w:r>
        <w:r w:rsidRPr="0030672E">
          <w:rPr>
            <w:rFonts w:ascii="Sakkal Majalla" w:hAnsi="Sakkal Majalla" w:cs="Sakkal Majalla"/>
            <w:sz w:val="32"/>
            <w:szCs w:val="32"/>
          </w:rPr>
          <w:instrText>PAGE   \* MERGEFORMAT</w:instrText>
        </w:r>
        <w:r w:rsidRPr="009A72F0">
          <w:rPr>
            <w:rFonts w:ascii="Sakkal Majalla" w:hAnsi="Sakkal Majalla"/>
            <w:sz w:val="32"/>
          </w:rPr>
          <w:fldChar w:fldCharType="separate"/>
        </w:r>
        <w:r w:rsidRPr="00600AD0">
          <w:rPr>
            <w:rFonts w:ascii="Sakkal Majalla" w:hAnsi="Sakkal Majalla" w:cs="Sakkal Majalla"/>
            <w:sz w:val="32"/>
            <w:szCs w:val="32"/>
            <w:rtl/>
            <w:lang w:val="ar-SA"/>
          </w:rPr>
          <w:t>2</w:t>
        </w:r>
        <w:r w:rsidRPr="009A72F0">
          <w:rPr>
            <w:rFonts w:ascii="Sakkal Majalla" w:hAnsi="Sakkal Majalla"/>
            <w:sz w:val="32"/>
          </w:rPr>
          <w:fldChar w:fldCharType="end"/>
        </w:r>
        <w:r>
          <w:rPr>
            <w:rFonts w:hint="cs"/>
            <w:rtl/>
          </w:rPr>
          <w:t>)</w:t>
        </w:r>
      </w:p>
    </w:sdtContent>
  </w:sdt>
  <w:p w14:paraId="5491FB09" w14:textId="77777777" w:rsidR="001316C8" w:rsidRDefault="001316C8" w:rsidP="009A72F0">
    <w:pPr>
      <w:pStyle w:val="a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C6F4" w14:textId="77777777" w:rsidR="00C6127B" w:rsidRDefault="00C6127B">
      <w:r>
        <w:separator/>
      </w:r>
    </w:p>
  </w:footnote>
  <w:footnote w:type="continuationSeparator" w:id="0">
    <w:p w14:paraId="17C5E157" w14:textId="77777777" w:rsidR="00C6127B" w:rsidRDefault="00C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6D67" w14:textId="77777777" w:rsidR="001316C8" w:rsidRPr="009A72F0" w:rsidRDefault="001316C8" w:rsidP="009A72F0">
    <w:pPr>
      <w:pStyle w:val="ab"/>
      <w:bidi w:val="0"/>
      <w:ind w:right="600"/>
      <w:jc w:val="both"/>
      <w:rPr>
        <w:b/>
        <w:bCs/>
        <w:sz w:val="24"/>
        <w:szCs w:val="24"/>
        <w:rtl/>
        <w:lang w:bidi="ar-O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1413" w14:textId="77777777" w:rsidR="001316C8" w:rsidRDefault="001316C8" w:rsidP="000921E9">
    <w:pPr>
      <w:pStyle w:val="ab"/>
      <w:ind w:right="884"/>
      <w:jc w:val="both"/>
      <w:rPr>
        <w:rtl/>
      </w:rPr>
    </w:pPr>
  </w:p>
  <w:p w14:paraId="7463DB9D" w14:textId="77777777" w:rsidR="001316C8" w:rsidRPr="00600AD0" w:rsidRDefault="001316C8" w:rsidP="00600AD0">
    <w:pPr>
      <w:pStyle w:val="ab"/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64918"/>
    <w:multiLevelType w:val="hybridMultilevel"/>
    <w:tmpl w:val="E65A9B9C"/>
    <w:lvl w:ilvl="0" w:tplc="4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63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C8"/>
    <w:rsid w:val="001316C8"/>
    <w:rsid w:val="00206B38"/>
    <w:rsid w:val="00336FA8"/>
    <w:rsid w:val="0058266B"/>
    <w:rsid w:val="006676DF"/>
    <w:rsid w:val="00991745"/>
    <w:rsid w:val="00A24C32"/>
    <w:rsid w:val="00A74A2A"/>
    <w:rsid w:val="00C34E4C"/>
    <w:rsid w:val="00C6127B"/>
    <w:rsid w:val="00CA7C1F"/>
    <w:rsid w:val="00C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EC841"/>
  <w15:chartTrackingRefBased/>
  <w15:docId w15:val="{6C976FB3-B58F-4004-8F3E-8C652243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C8"/>
    <w:pPr>
      <w:bidi/>
      <w:jc w:val="lowKashida"/>
    </w:pPr>
    <w:rPr>
      <w:rFonts w:ascii="Times New Roman" w:hAnsi="Times New Roman" w:cs="HASOOB"/>
      <w:kern w:val="0"/>
      <w:sz w:val="28"/>
      <w:szCs w:val="4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16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6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6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6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6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6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6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6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6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6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131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6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6C8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1316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6C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6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6C8"/>
    <w:rPr>
      <w:rFonts w:ascii="ＭＳ 明朝" w:eastAsia="ＭＳ 明朝" w:hAnsi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16C8"/>
    <w:rPr>
      <w:b/>
      <w:bCs/>
      <w:smallCaps/>
      <w:color w:val="2E74B5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1316C8"/>
    <w:pPr>
      <w:tabs>
        <w:tab w:val="center" w:pos="4153"/>
        <w:tab w:val="right" w:pos="8306"/>
      </w:tabs>
    </w:pPr>
  </w:style>
  <w:style w:type="character" w:customStyle="1" w:styleId="ac">
    <w:name w:val="ヘッダー (文字)"/>
    <w:basedOn w:val="a0"/>
    <w:link w:val="ab"/>
    <w:uiPriority w:val="99"/>
    <w:rsid w:val="001316C8"/>
    <w:rPr>
      <w:rFonts w:ascii="Times New Roman" w:hAnsi="Times New Roman" w:cs="HASOOB"/>
      <w:kern w:val="0"/>
      <w:sz w:val="28"/>
      <w:szCs w:val="40"/>
      <w:lang w:eastAsia="en-US"/>
    </w:rPr>
  </w:style>
  <w:style w:type="paragraph" w:styleId="ad">
    <w:name w:val="footer"/>
    <w:basedOn w:val="a"/>
    <w:link w:val="ae"/>
    <w:uiPriority w:val="99"/>
    <w:unhideWhenUsed/>
    <w:rsid w:val="001316C8"/>
    <w:pPr>
      <w:tabs>
        <w:tab w:val="center" w:pos="4153"/>
        <w:tab w:val="right" w:pos="8306"/>
      </w:tabs>
    </w:pPr>
  </w:style>
  <w:style w:type="character" w:customStyle="1" w:styleId="ae">
    <w:name w:val="フッター (文字)"/>
    <w:basedOn w:val="a0"/>
    <w:link w:val="ad"/>
    <w:uiPriority w:val="99"/>
    <w:rsid w:val="001316C8"/>
    <w:rPr>
      <w:rFonts w:ascii="Times New Roman" w:hAnsi="Times New Roman" w:cs="HASOOB"/>
      <w:kern w:val="0"/>
      <w:sz w:val="28"/>
      <w:szCs w:val="40"/>
      <w:lang w:eastAsia="en-US"/>
    </w:rPr>
  </w:style>
  <w:style w:type="character" w:customStyle="1" w:styleId="aa">
    <w:name w:val="リスト段落 (文字)"/>
    <w:basedOn w:val="a0"/>
    <w:link w:val="a9"/>
    <w:uiPriority w:val="34"/>
    <w:rsid w:val="001316C8"/>
    <w:rPr>
      <w:rFonts w:ascii="ＭＳ 明朝" w:eastAsia="ＭＳ 明朝" w:hAnsi="ＭＳ 明朝"/>
    </w:rPr>
  </w:style>
  <w:style w:type="table" w:customStyle="1" w:styleId="25">
    <w:name w:val="شبكة جدول2"/>
    <w:basedOn w:val="a1"/>
    <w:next w:val="af"/>
    <w:uiPriority w:val="59"/>
    <w:rsid w:val="001316C8"/>
    <w:pPr>
      <w:jc w:val="center"/>
    </w:pPr>
    <w:rPr>
      <w:rFonts w:ascii="Century" w:eastAsia="ＭＳ 明朝" w:hAnsi="Century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3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1.xml" Type="http://schemas.openxmlformats.org/officeDocument/2006/relationships/customXml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8FF8346A17C7468AC6649EF8530E30" ma:contentTypeVersion="12" ma:contentTypeDescription="新しいドキュメントを作成します。" ma:contentTypeScope="" ma:versionID="67b958ac379720099eb9342577009dd8">
  <xsd:schema xmlns:xsd="http://www.w3.org/2001/XMLSchema" xmlns:xs="http://www.w3.org/2001/XMLSchema" xmlns:p="http://schemas.microsoft.com/office/2006/metadata/properties" xmlns:ns2="342f5b1b-625d-4f0b-a360-8022785fbb66" xmlns:ns3="1e92825e-7df4-4779-9745-c554aa4bad16" targetNamespace="http://schemas.microsoft.com/office/2006/metadata/properties" ma:root="true" ma:fieldsID="70626e1b7dd2d1b459e17c2e241b905f" ns2:_="" ns3:_="">
    <xsd:import namespace="342f5b1b-625d-4f0b-a360-8022785fbb66"/>
    <xsd:import namespace="1e92825e-7df4-4779-9745-c554aa4ba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5b1b-625d-4f0b-a360-8022785fb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825e-7df4-4779-9745-c554aa4bad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d9bfc-94ca-4f27-9ce5-7b76d88e9ff8}" ma:internalName="TaxCatchAll" ma:showField="CatchAllData" ma:web="1e92825e-7df4-4779-9745-c554aa4ba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5b1b-625d-4f0b-a360-8022785fbb66">
      <Terms xmlns="http://schemas.microsoft.com/office/infopath/2007/PartnerControls"/>
    </lcf76f155ced4ddcb4097134ff3c332f>
    <TaxCatchAll xmlns="1e92825e-7df4-4779-9745-c554aa4bad16" xsi:nil="true"/>
  </documentManagement>
</p:properties>
</file>

<file path=customXml/itemProps1.xml><?xml version="1.0" encoding="utf-8"?>
<ds:datastoreItem xmlns:ds="http://schemas.openxmlformats.org/officeDocument/2006/customXml" ds:itemID="{99D976B9-BB8A-47B0-9A99-8E91DA88E699}"/>
</file>

<file path=customXml/itemProps2.xml><?xml version="1.0" encoding="utf-8"?>
<ds:datastoreItem xmlns:ds="http://schemas.openxmlformats.org/officeDocument/2006/customXml" ds:itemID="{15FD9C01-73A5-49CA-A132-9A13421C93DE}"/>
</file>

<file path=customXml/itemProps3.xml><?xml version="1.0" encoding="utf-8"?>
<ds:datastoreItem xmlns:ds="http://schemas.openxmlformats.org/officeDocument/2006/customXml" ds:itemID="{7673CD85-C6D4-4186-BDB7-5A5BC6399E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3698</Characters>
  <DocSecurity>0</DocSecurity>
  <Lines>30</Lines>
  <Paragraphs>8</Paragraphs>
  <ScaleCrop>false</ScaleCrop>
  <LinksUpToDate>false</LinksUpToDate>
  <CharactersWithSpaces>4338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0x010100198FF8346A17C7468AC6649EF8530E30</vt:lpwstr>
  </property>
</Properties>
</file>